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s="宋体"/>
          <w:b/>
          <w:color w:val="auto"/>
          <w:sz w:val="32"/>
        </w:rPr>
      </w:pPr>
    </w:p>
    <w:p>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WSWB</w:t>
      </w:r>
      <w:r>
        <w:rPr>
          <w:rFonts w:hint="eastAsia" w:ascii="华文中宋" w:hAnsi="华文中宋" w:eastAsia="华文中宋" w:cs="宋体"/>
          <w:b/>
          <w:color w:val="auto"/>
          <w:sz w:val="32"/>
        </w:rPr>
        <w:t>-</w:t>
      </w:r>
      <w:r>
        <w:rPr>
          <w:rFonts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2</w:t>
      </w:r>
      <w:r>
        <w:rPr>
          <w:rFonts w:hint="eastAsia" w:ascii="华文中宋" w:hAnsi="华文中宋" w:eastAsia="华文中宋" w:cs="宋体"/>
          <w:b/>
          <w:color w:val="auto"/>
          <w:sz w:val="32"/>
        </w:rPr>
        <w:t>-</w:t>
      </w:r>
      <w:r>
        <w:rPr>
          <w:rFonts w:hint="eastAsia" w:ascii="华文中宋" w:hAnsi="华文中宋" w:eastAsia="华文中宋" w:cs="宋体"/>
          <w:b/>
          <w:color w:val="auto"/>
          <w:sz w:val="32"/>
          <w:lang w:val="en-US" w:eastAsia="zh-CN"/>
        </w:rPr>
        <w:t>01</w:t>
      </w:r>
    </w:p>
    <w:p>
      <w:pPr>
        <w:spacing w:line="360" w:lineRule="auto"/>
        <w:jc w:val="center"/>
        <w:rPr>
          <w:rFonts w:ascii="华文中宋" w:hAnsi="华文中宋" w:eastAsia="华文中宋" w:cs="宋体"/>
          <w:b/>
          <w:color w:val="auto"/>
          <w:sz w:val="48"/>
          <w:szCs w:val="48"/>
        </w:rPr>
      </w:pPr>
      <w:bookmarkStart w:id="0" w:name="_Hlk63613221"/>
    </w:p>
    <w:p>
      <w:pPr>
        <w:spacing w:line="360" w:lineRule="auto"/>
        <w:jc w:val="center"/>
        <w:rPr>
          <w:rFonts w:ascii="华文中宋" w:hAnsi="华文中宋" w:eastAsia="华文中宋" w:cs="宋体"/>
          <w:b/>
          <w:color w:val="auto"/>
          <w:sz w:val="48"/>
          <w:szCs w:val="48"/>
        </w:rPr>
      </w:pPr>
      <w:r>
        <w:rPr>
          <w:rFonts w:hint="eastAsia" w:ascii="华文中宋" w:hAnsi="华文中宋" w:eastAsia="华文中宋" w:cs="宋体"/>
          <w:b/>
          <w:color w:val="auto"/>
          <w:sz w:val="48"/>
          <w:szCs w:val="48"/>
        </w:rPr>
        <w:t>医院</w:t>
      </w:r>
      <w:r>
        <w:rPr>
          <w:rFonts w:hint="eastAsia" w:ascii="华文中宋" w:hAnsi="华文中宋" w:eastAsia="华文中宋" w:cs="宋体"/>
          <w:b/>
          <w:color w:val="auto"/>
          <w:sz w:val="48"/>
          <w:szCs w:val="48"/>
          <w:lang w:val="en-US" w:eastAsia="zh-CN"/>
        </w:rPr>
        <w:t>污水设备维保服务</w:t>
      </w:r>
      <w:r>
        <w:rPr>
          <w:rFonts w:hint="eastAsia" w:ascii="华文中宋" w:hAnsi="华文中宋" w:eastAsia="华文中宋" w:cs="宋体"/>
          <w:b/>
          <w:color w:val="auto"/>
          <w:sz w:val="48"/>
          <w:szCs w:val="48"/>
        </w:rPr>
        <w:t>项目</w:t>
      </w:r>
      <w:bookmarkEnd w:id="0"/>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pPr>
        <w:spacing w:line="360" w:lineRule="auto"/>
        <w:jc w:val="center"/>
        <w:rPr>
          <w:rFonts w:ascii="华文中宋" w:hAnsi="华文中宋" w:eastAsia="华文中宋" w:cs="宋体"/>
          <w:b/>
          <w:color w:val="auto"/>
          <w:sz w:val="32"/>
        </w:rPr>
      </w:pPr>
    </w:p>
    <w:p>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2022</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11</w:t>
      </w:r>
      <w:r>
        <w:rPr>
          <w:rFonts w:ascii="华文中宋" w:hAnsi="华文中宋" w:eastAsia="华文中宋" w:cs="宋体"/>
          <w:b/>
          <w:color w:val="auto"/>
          <w:sz w:val="32"/>
        </w:rPr>
        <w:t>月</w:t>
      </w:r>
    </w:p>
    <w:p>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pPr>
        <w:spacing w:line="360" w:lineRule="auto"/>
        <w:jc w:val="center"/>
        <w:rPr>
          <w:rFonts w:ascii="华文中宋" w:hAnsi="华文中宋" w:eastAsia="华文中宋" w:cs="宋体"/>
          <w:b/>
          <w:color w:val="auto"/>
          <w:sz w:val="44"/>
        </w:rPr>
      </w:pPr>
    </w:p>
    <w:p>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pPr>
        <w:spacing w:line="360" w:lineRule="auto"/>
        <w:jc w:val="center"/>
        <w:rPr>
          <w:rFonts w:ascii="Times New Roman" w:hAnsi="Times New Roman" w:eastAsia="Times New Roman" w:cs="Times New Roman"/>
          <w:b/>
          <w:color w:val="auto"/>
          <w:sz w:val="44"/>
        </w:rPr>
      </w:pPr>
    </w:p>
    <w:p>
      <w:pPr>
        <w:pStyle w:val="16"/>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23"/>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3</w:t>
      </w:r>
      <w:r>
        <w:rPr>
          <w:b/>
          <w:bCs/>
          <w:color w:val="auto"/>
          <w:sz w:val="28"/>
          <w:szCs w:val="32"/>
        </w:rPr>
        <w:fldChar w:fldCharType="end"/>
      </w:r>
      <w:r>
        <w:rPr>
          <w:b/>
          <w:bCs/>
          <w:color w:val="auto"/>
          <w:sz w:val="28"/>
          <w:szCs w:val="32"/>
        </w:rPr>
        <w:fldChar w:fldCharType="end"/>
      </w:r>
    </w:p>
    <w:p>
      <w:pPr>
        <w:pStyle w:val="16"/>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23"/>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6</w:t>
      </w:r>
      <w:r>
        <w:rPr>
          <w:b/>
          <w:bCs/>
          <w:color w:val="auto"/>
          <w:sz w:val="28"/>
          <w:szCs w:val="32"/>
        </w:rPr>
        <w:fldChar w:fldCharType="end"/>
      </w:r>
      <w:r>
        <w:rPr>
          <w:b/>
          <w:bCs/>
          <w:color w:val="auto"/>
          <w:sz w:val="28"/>
          <w:szCs w:val="32"/>
        </w:rPr>
        <w:fldChar w:fldCharType="end"/>
      </w:r>
    </w:p>
    <w:p>
      <w:pPr>
        <w:pStyle w:val="16"/>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23"/>
          <w:rFonts w:ascii="华文中宋" w:hAnsi="华文中宋" w:eastAsia="华文中宋" w:cs="宋体"/>
          <w:b/>
          <w:bCs/>
          <w:color w:val="auto"/>
          <w:sz w:val="28"/>
          <w:szCs w:val="32"/>
        </w:rPr>
        <w:t>第三章</w:t>
      </w:r>
      <w:r>
        <w:rPr>
          <w:rStyle w:val="23"/>
          <w:rFonts w:hint="eastAsia" w:ascii="华文中宋" w:hAnsi="华文中宋" w:eastAsia="华文中宋" w:cs="宋体"/>
          <w:b/>
          <w:bCs/>
          <w:color w:val="auto"/>
          <w:sz w:val="28"/>
          <w:szCs w:val="32"/>
        </w:rPr>
        <w:t xml:space="preserve"> </w:t>
      </w:r>
      <w:r>
        <w:rPr>
          <w:rStyle w:val="23"/>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14</w:t>
      </w:r>
      <w:r>
        <w:rPr>
          <w:b/>
          <w:bCs/>
          <w:color w:val="auto"/>
          <w:sz w:val="28"/>
          <w:szCs w:val="32"/>
        </w:rPr>
        <w:fldChar w:fldCharType="end"/>
      </w:r>
      <w:r>
        <w:rPr>
          <w:b/>
          <w:bCs/>
          <w:color w:val="auto"/>
          <w:sz w:val="28"/>
          <w:szCs w:val="32"/>
        </w:rPr>
        <w:fldChar w:fldCharType="end"/>
      </w:r>
    </w:p>
    <w:p>
      <w:pPr>
        <w:pStyle w:val="16"/>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23"/>
          <w:rFonts w:ascii="华文中宋" w:hAnsi="华文中宋" w:eastAsia="华文中宋" w:cs="宋体"/>
          <w:b/>
          <w:bCs/>
          <w:color w:val="auto"/>
          <w:sz w:val="28"/>
          <w:szCs w:val="32"/>
        </w:rPr>
        <w:t>第四章</w:t>
      </w:r>
      <w:r>
        <w:rPr>
          <w:rStyle w:val="23"/>
          <w:rFonts w:hint="eastAsia" w:ascii="华文中宋" w:hAnsi="华文中宋" w:eastAsia="华文中宋" w:cs="宋体"/>
          <w:b/>
          <w:bCs/>
          <w:color w:val="auto"/>
          <w:sz w:val="28"/>
          <w:szCs w:val="32"/>
        </w:rPr>
        <w:t xml:space="preserve"> </w:t>
      </w:r>
      <w:r>
        <w:rPr>
          <w:rStyle w:val="23"/>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16</w:t>
      </w:r>
      <w:r>
        <w:rPr>
          <w:b/>
          <w:bCs/>
          <w:color w:val="auto"/>
          <w:sz w:val="28"/>
          <w:szCs w:val="32"/>
        </w:rPr>
        <w:fldChar w:fldCharType="end"/>
      </w:r>
      <w:r>
        <w:rPr>
          <w:b/>
          <w:bCs/>
          <w:color w:val="auto"/>
          <w:sz w:val="28"/>
          <w:szCs w:val="32"/>
        </w:rPr>
        <w:fldChar w:fldCharType="end"/>
      </w:r>
    </w:p>
    <w:p>
      <w:pPr>
        <w:pStyle w:val="16"/>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23"/>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17</w:t>
      </w:r>
      <w:r>
        <w:rPr>
          <w:b/>
          <w:bCs/>
          <w:color w:val="auto"/>
          <w:sz w:val="28"/>
          <w:szCs w:val="32"/>
        </w:rPr>
        <w:fldChar w:fldCharType="end"/>
      </w:r>
      <w:r>
        <w:rPr>
          <w:b/>
          <w:bCs/>
          <w:color w:val="auto"/>
          <w:sz w:val="28"/>
          <w:szCs w:val="32"/>
        </w:rPr>
        <w:fldChar w:fldCharType="end"/>
      </w:r>
    </w:p>
    <w:p>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widowControl/>
        <w:jc w:val="left"/>
        <w:rPr>
          <w:rFonts w:ascii="Times New Roman" w:hAnsi="Times New Roman" w:cs="Times New Roman"/>
          <w:color w:val="auto"/>
          <w:sz w:val="24"/>
        </w:rPr>
      </w:pPr>
      <w:r>
        <w:rPr>
          <w:rFonts w:ascii="Times New Roman" w:hAnsi="Times New Roman" w:cs="Times New Roman"/>
          <w:color w:val="auto"/>
          <w:sz w:val="24"/>
        </w:rPr>
        <w:br w:type="page"/>
      </w:r>
    </w:p>
    <w:p>
      <w:pPr>
        <w:pStyle w:val="2"/>
        <w:jc w:val="center"/>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2"/>
        <w:jc w:val="center"/>
        <w:rPr>
          <w:rFonts w:ascii="华文中宋" w:hAnsi="华文中宋" w:eastAsia="华文中宋" w:cs="Times New Roman"/>
          <w:b w:val="0"/>
          <w:color w:val="auto"/>
        </w:rPr>
      </w:pPr>
      <w:bookmarkStart w:id="1" w:name="_Toc66971932"/>
      <w:bookmarkStart w:id="2" w:name="_Toc686191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pPr>
        <w:spacing w:before="80" w:after="80" w:line="360" w:lineRule="auto"/>
        <w:ind w:firstLine="482"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拟对医院</w:t>
      </w:r>
      <w:r>
        <w:rPr>
          <w:rFonts w:hint="eastAsia" w:ascii="宋体" w:hAnsi="宋体" w:eastAsia="宋体" w:cs="宋体"/>
          <w:b/>
          <w:color w:val="auto"/>
          <w:sz w:val="24"/>
          <w:u w:val="single"/>
          <w:lang w:val="en-US" w:eastAsia="zh-CN"/>
        </w:rPr>
        <w:t>污水设备维保服务</w:t>
      </w:r>
      <w:r>
        <w:rPr>
          <w:rFonts w:hint="eastAsia" w:ascii="宋体" w:hAnsi="宋体" w:eastAsia="宋体" w:cs="宋体"/>
          <w:b/>
          <w:color w:val="auto"/>
          <w:sz w:val="24"/>
          <w:u w:val="single"/>
        </w:rPr>
        <w:t>采购项目</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pPr>
        <w:numPr>
          <w:ilvl w:val="0"/>
          <w:numId w:val="1"/>
        </w:numPr>
        <w:spacing w:before="80" w:after="80" w:line="360" w:lineRule="auto"/>
        <w:ind w:firstLine="482"/>
        <w:rPr>
          <w:rFonts w:ascii="宋体" w:hAnsi="宋体" w:eastAsia="宋体" w:cs="宋体"/>
          <w:b/>
          <w:color w:val="auto"/>
          <w:sz w:val="24"/>
          <w:shd w:val="pct10" w:color="auto" w:fill="FFFFFF"/>
        </w:rPr>
      </w:pPr>
      <w:r>
        <w:rPr>
          <w:rFonts w:ascii="宋体" w:hAnsi="宋体" w:eastAsia="宋体" w:cs="宋体"/>
          <w:b/>
          <w:color w:val="auto"/>
          <w:sz w:val="24"/>
        </w:rPr>
        <w:t>项目名称：</w:t>
      </w:r>
      <w:r>
        <w:rPr>
          <w:rFonts w:hint="eastAsia" w:ascii="宋体" w:hAnsi="宋体" w:eastAsia="宋体" w:cs="宋体"/>
          <w:b/>
          <w:color w:val="auto"/>
          <w:sz w:val="24"/>
        </w:rPr>
        <w:t>医院</w:t>
      </w:r>
      <w:r>
        <w:rPr>
          <w:rFonts w:hint="eastAsia" w:ascii="宋体" w:hAnsi="宋体" w:eastAsia="宋体" w:cs="宋体"/>
          <w:b/>
          <w:color w:val="auto"/>
          <w:sz w:val="24"/>
          <w:lang w:val="en-US" w:eastAsia="zh-CN"/>
        </w:rPr>
        <w:t>污水设备维保服务</w:t>
      </w:r>
      <w:r>
        <w:rPr>
          <w:rFonts w:hint="eastAsia" w:ascii="宋体" w:hAnsi="宋体" w:eastAsia="宋体" w:cs="宋体"/>
          <w:b/>
          <w:color w:val="auto"/>
          <w:sz w:val="24"/>
        </w:rPr>
        <w:t>采购项目</w:t>
      </w:r>
    </w:p>
    <w:p>
      <w:pPr>
        <w:numPr>
          <w:ilvl w:val="0"/>
          <w:numId w:val="1"/>
        </w:numPr>
        <w:spacing w:before="80" w:after="80" w:line="360" w:lineRule="auto"/>
        <w:ind w:firstLine="482"/>
        <w:rPr>
          <w:rFonts w:ascii="宋体" w:hAnsi="宋体" w:eastAsia="宋体" w:cs="宋体"/>
          <w:b/>
          <w:color w:val="auto"/>
          <w:sz w:val="24"/>
        </w:rPr>
      </w:pPr>
      <w:r>
        <w:rPr>
          <w:rFonts w:ascii="宋体" w:hAnsi="宋体" w:eastAsia="宋体" w:cs="宋体"/>
          <w:b/>
          <w:color w:val="auto"/>
          <w:sz w:val="24"/>
        </w:rPr>
        <w:t>项目编号：</w:t>
      </w:r>
      <w:r>
        <w:rPr>
          <w:rFonts w:hint="eastAsia" w:ascii="宋体" w:hAnsi="宋体" w:eastAsia="宋体" w:cs="宋体"/>
          <w:b/>
          <w:color w:val="auto"/>
          <w:sz w:val="24"/>
          <w:lang w:eastAsia="zh-CN"/>
        </w:rPr>
        <w:t>WSWB-2022-01</w:t>
      </w:r>
    </w:p>
    <w:p>
      <w:pPr>
        <w:spacing w:before="80" w:after="80" w:line="360" w:lineRule="auto"/>
        <w:ind w:firstLine="482" w:firstLineChars="200"/>
        <w:rPr>
          <w:rFonts w:ascii="宋体" w:hAnsi="宋体" w:eastAsia="宋体" w:cs="宋体"/>
          <w:color w:val="auto"/>
          <w:sz w:val="24"/>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color w:val="auto"/>
        </w:rPr>
        <w:t xml:space="preserve"> </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拟采购</w:t>
      </w:r>
      <w:r>
        <w:rPr>
          <w:rFonts w:hint="eastAsia" w:ascii="宋体" w:hAnsi="宋体" w:eastAsia="宋体" w:cs="宋体"/>
          <w:color w:val="auto"/>
          <w:sz w:val="24"/>
          <w:lang w:val="en-US" w:eastAsia="zh-CN"/>
        </w:rPr>
        <w:t>环保验收项目</w:t>
      </w:r>
      <w:r>
        <w:rPr>
          <w:rFonts w:hint="eastAsia" w:ascii="宋体" w:hAnsi="宋体" w:eastAsia="宋体" w:cs="宋体"/>
          <w:color w:val="auto"/>
          <w:sz w:val="24"/>
        </w:rPr>
        <w:t>。采购预算：</w:t>
      </w:r>
      <w:r>
        <w:rPr>
          <w:rFonts w:hint="eastAsia" w:ascii="宋体" w:hAnsi="宋体" w:eastAsia="宋体" w:cs="宋体"/>
          <w:color w:val="auto"/>
          <w:sz w:val="24"/>
          <w:lang w:val="en-US" w:eastAsia="zh-CN"/>
        </w:rPr>
        <w:t>11</w:t>
      </w:r>
      <w:r>
        <w:rPr>
          <w:rFonts w:hint="eastAsia" w:ascii="宋体" w:hAnsi="宋体" w:eastAsia="宋体" w:cs="宋体"/>
          <w:color w:val="auto"/>
          <w:sz w:val="24"/>
        </w:rPr>
        <w:t>万元；最高限价价：</w:t>
      </w:r>
      <w:r>
        <w:rPr>
          <w:rFonts w:hint="eastAsia" w:ascii="宋体" w:hAnsi="宋体" w:eastAsia="宋体" w:cs="宋体"/>
          <w:color w:val="auto"/>
          <w:sz w:val="24"/>
          <w:lang w:val="en-US" w:eastAsia="zh-CN"/>
        </w:rPr>
        <w:t>11</w:t>
      </w:r>
      <w:r>
        <w:rPr>
          <w:rFonts w:hint="eastAsia" w:ascii="宋体" w:hAnsi="宋体" w:eastAsia="宋体" w:cs="宋体"/>
          <w:color w:val="auto"/>
          <w:sz w:val="24"/>
        </w:rPr>
        <w:t>万元。</w:t>
      </w:r>
    </w:p>
    <w:p>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注：超过预算金额</w:t>
      </w:r>
      <w:r>
        <w:rPr>
          <w:rFonts w:hint="eastAsia" w:ascii="宋体" w:hAnsi="宋体" w:eastAsia="宋体" w:cs="宋体"/>
          <w:color w:val="auto"/>
          <w:sz w:val="24"/>
        </w:rPr>
        <w:t>或最高限价</w:t>
      </w:r>
      <w:r>
        <w:rPr>
          <w:rFonts w:ascii="宋体" w:hAnsi="宋体" w:eastAsia="宋体" w:cs="宋体"/>
          <w:color w:val="auto"/>
          <w:sz w:val="24"/>
        </w:rPr>
        <w:t>的报价将作为无效响应处理。</w:t>
      </w:r>
    </w:p>
    <w:p>
      <w:pPr>
        <w:spacing w:before="80" w:after="80" w:line="360" w:lineRule="auto"/>
        <w:ind w:firstLine="482"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pPr>
        <w:spacing w:before="80" w:after="80" w:line="360" w:lineRule="auto"/>
        <w:ind w:firstLine="482" w:firstLineChars="200"/>
        <w:rPr>
          <w:rFonts w:ascii="Times New Roman" w:hAnsi="Times New Roman" w:eastAsia="Times New Roman" w:cs="Times New Roman"/>
          <w:b/>
          <w:color w:val="auto"/>
          <w:sz w:val="24"/>
        </w:rPr>
      </w:pPr>
      <w:r>
        <w:rPr>
          <w:rFonts w:ascii="宋体" w:hAnsi="宋体" w:eastAsia="宋体" w:cs="宋体"/>
          <w:b/>
          <w:color w:val="auto"/>
          <w:sz w:val="24"/>
        </w:rPr>
        <w:t>五、</w:t>
      </w:r>
      <w:r>
        <w:rPr>
          <w:rFonts w:hint="eastAsia" w:ascii="宋体" w:hAnsi="宋体" w:eastAsia="宋体" w:cs="宋体"/>
          <w:b/>
          <w:color w:val="auto"/>
          <w:sz w:val="24"/>
        </w:rPr>
        <w:t>比选报名、</w:t>
      </w:r>
      <w:r>
        <w:rPr>
          <w:rFonts w:ascii="宋体" w:hAnsi="宋体" w:eastAsia="宋体" w:cs="宋体"/>
          <w:b/>
          <w:color w:val="auto"/>
          <w:sz w:val="24"/>
        </w:rPr>
        <w:t>比选文件</w:t>
      </w:r>
      <w:r>
        <w:rPr>
          <w:rFonts w:hint="eastAsia" w:ascii="宋体" w:hAnsi="宋体" w:eastAsia="宋体" w:cs="宋体"/>
          <w:b/>
          <w:color w:val="auto"/>
          <w:sz w:val="24"/>
        </w:rPr>
        <w:t>领取</w:t>
      </w:r>
      <w:r>
        <w:rPr>
          <w:rFonts w:ascii="宋体" w:hAnsi="宋体" w:eastAsia="宋体" w:cs="宋体"/>
          <w:b/>
          <w:color w:val="auto"/>
          <w:sz w:val="24"/>
        </w:rPr>
        <w:t>时间、地点：</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比选文件</w:t>
      </w:r>
      <w:r>
        <w:rPr>
          <w:rFonts w:hint="eastAsia" w:ascii="宋体" w:hAnsi="宋体" w:eastAsia="宋体" w:cs="宋体"/>
          <w:color w:val="auto"/>
          <w:sz w:val="24"/>
          <w:lang w:val="en-US" w:eastAsia="zh-CN"/>
        </w:rPr>
        <w:t>下载</w:t>
      </w:r>
      <w:r>
        <w:rPr>
          <w:rFonts w:hint="eastAsia" w:ascii="宋体" w:hAnsi="宋体" w:eastAsia="宋体" w:cs="宋体"/>
          <w:color w:val="auto"/>
          <w:sz w:val="24"/>
        </w:rPr>
        <w:t>时间：</w:t>
      </w:r>
      <w:r>
        <w:rPr>
          <w:rFonts w:ascii="宋体" w:hAnsi="宋体" w:eastAsia="宋体" w:cs="宋体"/>
          <w:color w:val="auto"/>
          <w:sz w:val="24"/>
        </w:rPr>
        <w:t>自</w:t>
      </w:r>
      <w:r>
        <w:rPr>
          <w:rFonts w:hint="eastAsia" w:ascii="Times New Roman" w:hAnsi="Times New Roman" w:eastAsia="宋体" w:cs="Times New Roman"/>
          <w:color w:val="auto"/>
          <w:sz w:val="24"/>
          <w:lang w:eastAsia="zh-CN"/>
        </w:rPr>
        <w:t>2022</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11</w:t>
      </w:r>
      <w:r>
        <w:rPr>
          <w:rFonts w:ascii="宋体" w:hAnsi="宋体" w:eastAsia="宋体" w:cs="宋体"/>
          <w:color w:val="auto"/>
          <w:sz w:val="24"/>
        </w:rPr>
        <w:t>月</w:t>
      </w:r>
      <w:r>
        <w:rPr>
          <w:rFonts w:hint="eastAsia" w:ascii="Times New Roman" w:hAnsi="Times New Roman" w:eastAsia="宋体" w:cs="Times New Roman"/>
          <w:color w:val="auto"/>
          <w:sz w:val="24"/>
          <w:lang w:val="en-US" w:eastAsia="zh-CN"/>
        </w:rPr>
        <w:t>08</w:t>
      </w:r>
      <w:r>
        <w:rPr>
          <w:rFonts w:ascii="宋体" w:hAnsi="宋体" w:eastAsia="宋体" w:cs="宋体"/>
          <w:color w:val="auto"/>
          <w:sz w:val="24"/>
        </w:rPr>
        <w:t>日至</w:t>
      </w:r>
      <w:r>
        <w:rPr>
          <w:rFonts w:hint="eastAsia" w:ascii="Times New Roman" w:hAnsi="Times New Roman" w:eastAsia="宋体" w:cs="Times New Roman"/>
          <w:color w:val="auto"/>
          <w:sz w:val="24"/>
          <w:lang w:eastAsia="zh-CN"/>
        </w:rPr>
        <w:t>2022</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11</w:t>
      </w:r>
      <w:r>
        <w:rPr>
          <w:rFonts w:ascii="宋体" w:hAnsi="宋体" w:eastAsia="宋体" w:cs="宋体"/>
          <w:color w:val="auto"/>
          <w:sz w:val="24"/>
        </w:rPr>
        <w:t>月</w:t>
      </w:r>
      <w:r>
        <w:rPr>
          <w:rFonts w:hint="eastAsia" w:ascii="Times New Roman" w:hAnsi="Times New Roman" w:eastAsia="宋体" w:cs="Times New Roman"/>
          <w:color w:val="auto"/>
          <w:sz w:val="24"/>
          <w:lang w:val="en-US" w:eastAsia="zh-CN"/>
        </w:rPr>
        <w:t>10</w:t>
      </w:r>
      <w:r>
        <w:rPr>
          <w:rFonts w:ascii="宋体" w:hAnsi="宋体" w:eastAsia="宋体" w:cs="宋体"/>
          <w:color w:val="auto"/>
          <w:sz w:val="24"/>
        </w:rPr>
        <w:t>日</w:t>
      </w:r>
      <w:r>
        <w:rPr>
          <w:rFonts w:ascii="Times New Roman" w:hAnsi="Times New Roman" w:eastAsia="Times New Roman" w:cs="Times New Roman"/>
          <w:color w:val="auto"/>
          <w:sz w:val="24"/>
        </w:rPr>
        <w:t>17:00</w:t>
      </w:r>
      <w:r>
        <w:rPr>
          <w:rFonts w:ascii="宋体" w:hAnsi="宋体" w:eastAsia="宋体" w:cs="宋体"/>
          <w:color w:val="auto"/>
          <w:sz w:val="24"/>
        </w:rPr>
        <w:t>（北京时间）</w:t>
      </w:r>
    </w:p>
    <w:p>
      <w:pPr>
        <w:numPr>
          <w:ilvl w:val="0"/>
          <w:numId w:val="2"/>
        </w:numPr>
        <w:spacing w:before="80" w:after="80" w:line="360" w:lineRule="auto"/>
        <w:ind w:firstLine="482" w:firstLineChars="200"/>
        <w:rPr>
          <w:rFonts w:ascii="宋体" w:hAnsi="宋体" w:eastAsia="宋体" w:cs="宋体"/>
          <w:color w:val="auto"/>
          <w:sz w:val="24"/>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w:t>
      </w:r>
      <w:r>
        <w:rPr>
          <w:rFonts w:ascii="宋体" w:hAnsi="宋体" w:eastAsia="宋体" w:cs="宋体"/>
          <w:b/>
          <w:color w:val="auto"/>
          <w:sz w:val="24"/>
        </w:rPr>
        <w:t>现场提交地址：成都市</w:t>
      </w:r>
      <w:r>
        <w:rPr>
          <w:rFonts w:hint="eastAsia" w:ascii="宋体" w:hAnsi="宋体" w:eastAsia="宋体" w:cs="宋体"/>
          <w:b/>
          <w:color w:val="auto"/>
          <w:sz w:val="24"/>
          <w:lang w:val="en-US" w:eastAsia="zh-CN"/>
        </w:rPr>
        <w:t>成华区长秀路133号。</w:t>
      </w:r>
    </w:p>
    <w:p>
      <w:pPr>
        <w:numPr>
          <w:ilvl w:val="0"/>
          <w:numId w:val="0"/>
        </w:numPr>
        <w:spacing w:before="80" w:after="80" w:line="360" w:lineRule="auto"/>
        <w:ind w:firstLine="482" w:firstLineChars="200"/>
        <w:rPr>
          <w:rFonts w:ascii="宋体" w:hAnsi="宋体" w:eastAsia="宋体" w:cs="宋体"/>
          <w:color w:val="auto"/>
          <w:sz w:val="24"/>
        </w:rPr>
      </w:pPr>
      <w:r>
        <w:rPr>
          <w:rFonts w:hint="eastAsia" w:ascii="宋体" w:hAnsi="宋体" w:eastAsia="宋体" w:cs="宋体"/>
          <w:b/>
          <w:color w:val="auto"/>
          <w:sz w:val="24"/>
          <w:lang w:val="en-US" w:eastAsia="zh-CN"/>
        </w:rPr>
        <w:t>比选申请文件递交截止时间：2022年11月11日11:00（北京时间），</w:t>
      </w:r>
      <w:r>
        <w:rPr>
          <w:rFonts w:ascii="宋体" w:hAnsi="宋体" w:eastAsia="宋体" w:cs="宋体"/>
          <w:color w:val="auto"/>
          <w:sz w:val="24"/>
        </w:rPr>
        <w:t>逾期送达或没有密封的比选申请文件不予接收。本次比选不接受邮寄的比选申请文件。</w:t>
      </w:r>
    </w:p>
    <w:p>
      <w:pPr>
        <w:numPr>
          <w:ilvl w:val="0"/>
          <w:numId w:val="2"/>
        </w:numPr>
        <w:spacing w:before="80" w:after="80" w:line="360" w:lineRule="auto"/>
        <w:ind w:firstLine="482" w:firstLineChars="200"/>
        <w:rPr>
          <w:rFonts w:hint="default" w:ascii="Times New Roman" w:hAnsi="Times New Roman" w:eastAsia="宋体" w:cs="Times New Roman"/>
          <w:b/>
          <w:color w:val="auto"/>
          <w:sz w:val="24"/>
          <w:u w:val="single"/>
          <w:lang w:val="en-US" w:eastAsia="zh-CN"/>
        </w:rPr>
      </w:pPr>
      <w:r>
        <w:rPr>
          <w:rFonts w:ascii="宋体" w:hAnsi="宋体" w:eastAsia="宋体" w:cs="宋体"/>
          <w:b/>
          <w:color w:val="auto"/>
          <w:sz w:val="24"/>
        </w:rPr>
        <w:t>比选时间：</w:t>
      </w:r>
      <w:r>
        <w:rPr>
          <w:rFonts w:hint="eastAsia" w:ascii="宋体" w:hAnsi="宋体" w:eastAsia="宋体" w:cs="宋体"/>
          <w:b/>
          <w:color w:val="auto"/>
          <w:sz w:val="24"/>
          <w:lang w:val="en-US" w:eastAsia="zh-CN"/>
        </w:rPr>
        <w:t>另行通知</w:t>
      </w:r>
    </w:p>
    <w:p>
      <w:pPr>
        <w:spacing w:before="80" w:after="80" w:line="360" w:lineRule="auto"/>
        <w:ind w:firstLine="482"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pPr>
        <w:spacing w:before="80" w:after="80"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、本项目网上发布地址：</w:t>
      </w:r>
    </w:p>
    <w:p>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w:t>
      </w:r>
      <w:r>
        <w:rPr>
          <w:rFonts w:hint="eastAsia" w:ascii="宋体" w:hAnsi="宋体" w:eastAsia="宋体" w:cs="宋体"/>
          <w:bCs/>
          <w:color w:val="auto"/>
          <w:sz w:val="24"/>
          <w:lang w:val="en-US" w:eastAsia="zh-CN"/>
        </w:rPr>
        <w:t>文件、</w:t>
      </w:r>
      <w:r>
        <w:rPr>
          <w:rFonts w:hint="eastAsia" w:ascii="宋体" w:hAnsi="宋体" w:eastAsia="宋体" w:cs="宋体"/>
          <w:bCs/>
          <w:color w:val="auto"/>
          <w:sz w:val="24"/>
        </w:rPr>
        <w:t>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微信公众号</w:t>
      </w:r>
      <w:r>
        <w:rPr>
          <w:rFonts w:hint="eastAsia" w:ascii="宋体" w:hAnsi="宋体" w:eastAsia="宋体" w:cs="宋体"/>
          <w:bCs/>
          <w:color w:val="auto"/>
          <w:sz w:val="24"/>
        </w:rPr>
        <w:t>以公告形式发布。</w:t>
      </w:r>
    </w:p>
    <w:p>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九</w:t>
      </w:r>
      <w:r>
        <w:rPr>
          <w:rFonts w:ascii="宋体" w:hAnsi="宋体" w:eastAsia="宋体" w:cs="宋体"/>
          <w:b/>
          <w:color w:val="auto"/>
          <w:sz w:val="24"/>
        </w:rPr>
        <w:t>、比选人的有关信息：</w:t>
      </w:r>
    </w:p>
    <w:p>
      <w:pPr>
        <w:spacing w:before="80" w:after="80" w:line="360" w:lineRule="auto"/>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pPr>
        <w:spacing w:before="80" w:after="80"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秦老师</w:t>
      </w:r>
    </w:p>
    <w:p>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028-60828099</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3"/>
        <w:rPr>
          <w:rFonts w:ascii="华文中宋" w:hAnsi="华文中宋" w:eastAsia="华文中宋" w:cs="Cambria"/>
          <w:bCs w:val="0"/>
          <w:color w:val="auto"/>
        </w:rPr>
      </w:pPr>
      <w:r>
        <w:rPr>
          <w:rFonts w:ascii="华文中宋" w:hAnsi="华文中宋" w:eastAsia="华文中宋" w:cs="宋体"/>
          <w:bCs w:val="0"/>
          <w:color w:val="auto"/>
        </w:rPr>
        <w:t>比选申请人须知</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2、比选报价</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评审委员会</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7.2 比选活动在比选文件约定的地方进行。</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7.3 比选程序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7.3.1 对比选申请文件进行审查，剔除无效申请文件；</w:t>
      </w:r>
    </w:p>
    <w:p>
      <w:pPr>
        <w:spacing w:before="80" w:after="80" w:line="360" w:lineRule="auto"/>
        <w:ind w:firstLine="482"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7.3.2重新组织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pPr>
        <w:spacing w:line="360" w:lineRule="auto"/>
        <w:ind w:firstLine="480"/>
        <w:jc w:val="left"/>
        <w:rPr>
          <w:rFonts w:ascii="Times New Roman" w:hAnsi="Times New Roman" w:eastAsia="Times New Roman" w:cs="Times New Roman"/>
          <w:b/>
          <w:color w:val="auto"/>
          <w:sz w:val="24"/>
        </w:rPr>
      </w:pPr>
    </w:p>
    <w:p>
      <w:pPr>
        <w:keepNext/>
        <w:keepLines/>
        <w:spacing w:line="360" w:lineRule="auto"/>
        <w:jc w:val="center"/>
        <w:rPr>
          <w:rFonts w:ascii="宋体" w:hAnsi="宋体" w:eastAsia="宋体" w:cs="宋体"/>
          <w:b/>
          <w:color w:val="auto"/>
          <w:sz w:val="44"/>
        </w:rPr>
      </w:pP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2"/>
        <w:jc w:val="center"/>
        <w:rPr>
          <w:rFonts w:ascii="华文中宋" w:hAnsi="华文中宋" w:eastAsia="华文中宋" w:cs="宋体"/>
          <w:b w:val="0"/>
          <w:color w:val="auto"/>
        </w:rPr>
      </w:pPr>
      <w:bookmarkStart w:id="3" w:name="_Toc66971933"/>
      <w:bookmarkStart w:id="4" w:name="_Toc68619133"/>
      <w:r>
        <w:rPr>
          <w:rFonts w:ascii="华文中宋" w:hAnsi="华文中宋" w:eastAsia="华文中宋" w:cs="宋体"/>
          <w:b w:val="0"/>
          <w:color w:val="auto"/>
        </w:rPr>
        <w:t>第二章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比选申请书</w:t>
      </w:r>
      <w:bookmarkEnd w:id="3"/>
      <w:bookmarkEnd w:id="4"/>
    </w:p>
    <w:p>
      <w:pPr>
        <w:spacing w:line="360" w:lineRule="auto"/>
        <w:jc w:val="center"/>
        <w:rPr>
          <w:rFonts w:ascii="Times New Roman" w:hAnsi="Times New Roman" w:eastAsia="Times New Roman" w:cs="Times New Roman"/>
          <w:color w:val="auto"/>
          <w:sz w:val="24"/>
        </w:rPr>
      </w:pP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spacing w:line="360" w:lineRule="auto"/>
        <w:jc w:val="left"/>
        <w:rPr>
          <w:rFonts w:ascii="Times New Roman" w:hAnsi="Times New Roman" w:eastAsia="Times New Roman" w:cs="Times New Roman"/>
          <w:color w:val="auto"/>
          <w:sz w:val="24"/>
        </w:rPr>
      </w:pPr>
    </w:p>
    <w:p>
      <w:pPr>
        <w:spacing w:line="360" w:lineRule="auto"/>
        <w:jc w:val="center"/>
        <w:rPr>
          <w:rFonts w:ascii="Times New Roman" w:hAnsi="Times New Roman" w:eastAsia="Times New Roman" w:cs="Times New Roman"/>
          <w:b/>
          <w:color w:val="auto"/>
          <w:sz w:val="32"/>
        </w:rPr>
      </w:pPr>
    </w:p>
    <w:p>
      <w:pPr>
        <w:spacing w:line="360" w:lineRule="auto"/>
        <w:jc w:val="center"/>
        <w:rPr>
          <w:rFonts w:ascii="Times New Roman" w:hAnsi="Times New Roman" w:eastAsia="Times New Roman" w:cs="Times New Roman"/>
          <w:b/>
          <w:color w:val="auto"/>
          <w:sz w:val="48"/>
        </w:rPr>
      </w:pPr>
    </w:p>
    <w:p>
      <w:pPr>
        <w:widowControl/>
        <w:jc w:val="left"/>
        <w:rPr>
          <w:rFonts w:ascii="宋体" w:hAnsi="宋体" w:eastAsia="宋体" w:cs="宋体"/>
          <w:b/>
          <w:color w:val="auto"/>
          <w:sz w:val="48"/>
        </w:rPr>
      </w:pPr>
      <w:r>
        <w:rPr>
          <w:rFonts w:ascii="宋体" w:hAnsi="宋体" w:eastAsia="宋体" w:cs="宋体"/>
          <w:b/>
          <w:color w:val="auto"/>
          <w:sz w:val="48"/>
        </w:rPr>
        <w:br w:type="page"/>
      </w:r>
    </w:p>
    <w:p>
      <w:pPr>
        <w:spacing w:line="360" w:lineRule="auto"/>
        <w:jc w:val="center"/>
        <w:rPr>
          <w:rFonts w:ascii="华文中宋" w:hAnsi="华文中宋" w:eastAsia="华文中宋" w:cs="宋体"/>
          <w:b/>
          <w:color w:val="auto"/>
          <w:sz w:val="44"/>
          <w:szCs w:val="44"/>
        </w:rPr>
      </w:pPr>
    </w:p>
    <w:p>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医院</w:t>
      </w:r>
      <w:r>
        <w:rPr>
          <w:rFonts w:hint="eastAsia" w:ascii="华文中宋" w:hAnsi="华文中宋" w:eastAsia="华文中宋" w:cs="宋体"/>
          <w:b/>
          <w:color w:val="auto"/>
          <w:sz w:val="44"/>
          <w:szCs w:val="44"/>
          <w:lang w:val="en-US" w:eastAsia="zh-CN"/>
        </w:rPr>
        <w:t>污水设备维保服务</w:t>
      </w:r>
      <w:r>
        <w:rPr>
          <w:rFonts w:hint="eastAsia" w:ascii="华文中宋" w:hAnsi="华文中宋" w:eastAsia="华文中宋" w:cs="宋体"/>
          <w:b/>
          <w:color w:val="auto"/>
          <w:sz w:val="44"/>
          <w:szCs w:val="44"/>
        </w:rPr>
        <w:t>项目</w:t>
      </w: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pPr>
        <w:spacing w:line="360" w:lineRule="auto"/>
        <w:jc w:val="center"/>
        <w:rPr>
          <w:rFonts w:ascii="Cambria" w:hAnsi="Cambria" w:cs="Cambria"/>
          <w:b/>
          <w:color w:val="auto"/>
          <w:sz w:val="32"/>
        </w:rPr>
      </w:pPr>
    </w:p>
    <w:p>
      <w:pPr>
        <w:spacing w:line="360" w:lineRule="auto"/>
        <w:jc w:val="center"/>
        <w:rPr>
          <w:rFonts w:ascii="Cambria" w:hAnsi="Cambria" w:cs="Cambria"/>
          <w:b/>
          <w:color w:val="auto"/>
          <w:sz w:val="32"/>
        </w:rPr>
      </w:pPr>
    </w:p>
    <w:p>
      <w:pPr>
        <w:widowControl/>
        <w:jc w:val="left"/>
        <w:rPr>
          <w:rFonts w:ascii="Cambria" w:hAnsi="Cambria" w:eastAsia="Cambria" w:cs="Cambria"/>
          <w:b/>
          <w:color w:val="auto"/>
          <w:sz w:val="32"/>
        </w:rPr>
      </w:pPr>
      <w:r>
        <w:rPr>
          <w:rFonts w:ascii="Cambria" w:hAnsi="Cambria" w:eastAsia="Cambria" w:cs="Cambria"/>
          <w:b/>
          <w:color w:val="auto"/>
          <w:sz w:val="32"/>
        </w:rPr>
        <w:br w:type="page"/>
      </w:r>
    </w:p>
    <w:p>
      <w:pPr>
        <w:pStyle w:val="3"/>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pPr>
        <w:spacing w:before="80" w:after="80" w:line="360" w:lineRule="auto"/>
        <w:jc w:val="left"/>
        <w:rPr>
          <w:rFonts w:cs="Times New Roman" w:asciiTheme="minorEastAsia" w:hAnsiTheme="minorEastAsia"/>
          <w:color w:val="auto"/>
          <w:sz w:val="24"/>
          <w:szCs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3"/>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pPr>
        <w:spacing w:before="80" w:after="80" w:line="360" w:lineRule="auto"/>
        <w:ind w:firstLine="960" w:firstLineChars="400"/>
        <w:rPr>
          <w:rFonts w:ascii="宋体" w:hAnsi="宋体" w:eastAsia="宋体" w:cs="Times New Roman"/>
          <w:color w:val="auto"/>
          <w:sz w:val="24"/>
          <w:szCs w:val="24"/>
        </w:rPr>
      </w:pPr>
    </w:p>
    <w:p>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pPr>
        <w:spacing w:before="80" w:after="80" w:line="360" w:lineRule="auto"/>
        <w:ind w:firstLine="480" w:firstLineChars="200"/>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p>
    <w:p>
      <w:pPr>
        <w:spacing w:before="80" w:after="80"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pPr>
        <w:spacing w:before="80" w:after="80" w:line="360" w:lineRule="auto"/>
        <w:ind w:firstLine="482"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pPr>
        <w:spacing w:before="80" w:after="80" w:line="360" w:lineRule="auto"/>
        <w:ind w:firstLine="482"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cs="Times New Roman" w:asciiTheme="minorEastAsia" w:hAnsiTheme="minorEastAsia"/>
          <w:color w:val="auto"/>
          <w:sz w:val="24"/>
          <w:szCs w:val="24"/>
        </w:rPr>
      </w:pPr>
    </w:p>
    <w:p>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3"/>
        <w:rPr>
          <w:rFonts w:ascii="宋体" w:hAnsi="宋体" w:eastAsia="宋体" w:cs="宋体"/>
          <w:bCs/>
          <w:color w:val="auto"/>
          <w:sz w:val="24"/>
          <w:szCs w:val="24"/>
        </w:rPr>
      </w:pPr>
      <w:r>
        <w:rPr>
          <w:rFonts w:ascii="华文中宋" w:hAnsi="华文中宋" w:eastAsia="华文中宋" w:cs="宋体"/>
          <w:bCs w:val="0"/>
          <w:color w:val="auto"/>
        </w:rPr>
        <w:t>2、报价函</w:t>
      </w:r>
    </w:p>
    <w:tbl>
      <w:tblPr>
        <w:tblStyle w:val="2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pPr>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项目名称</w:t>
            </w:r>
          </w:p>
        </w:tc>
        <w:tc>
          <w:tcPr>
            <w:tcW w:w="7984" w:type="dxa"/>
            <w:vAlign w:val="center"/>
          </w:tcPr>
          <w:p>
            <w:pPr>
              <w:widowControl/>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pPr>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比选编号</w:t>
            </w:r>
          </w:p>
        </w:tc>
        <w:tc>
          <w:tcPr>
            <w:tcW w:w="7984" w:type="dxa"/>
            <w:vAlign w:val="center"/>
          </w:tcPr>
          <w:p>
            <w:pPr>
              <w:widowControl/>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pPr>
              <w:spacing w:line="360" w:lineRule="auto"/>
              <w:jc w:val="center"/>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技术要求响应</w:t>
            </w:r>
          </w:p>
        </w:tc>
        <w:tc>
          <w:tcPr>
            <w:tcW w:w="7984" w:type="dxa"/>
            <w:vAlign w:val="center"/>
          </w:tcPr>
          <w:p>
            <w:pPr>
              <w:widowControl/>
              <w:spacing w:line="360" w:lineRule="auto"/>
              <w:jc w:val="center"/>
              <w:rPr>
                <w:rFonts w:hint="eastAsia" w:ascii="宋体" w:hAnsi="宋体" w:eastAsia="宋体" w:cs="宋体"/>
                <w:color w:val="auto"/>
                <w:sz w:val="24"/>
                <w:szCs w:val="21"/>
              </w:rPr>
            </w:pPr>
            <w:r>
              <w:rPr>
                <w:rFonts w:hint="eastAsia" w:ascii="宋体" w:hAnsi="宋体" w:eastAsia="宋体"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pPr>
              <w:widowControl/>
              <w:spacing w:line="360" w:lineRule="auto"/>
              <w:jc w:val="center"/>
              <w:rPr>
                <w:rFonts w:ascii="宋体" w:hAnsi="宋体" w:eastAsia="宋体" w:cs="宋体"/>
                <w:b/>
                <w:bCs/>
                <w:color w:val="auto"/>
                <w:sz w:val="24"/>
                <w:szCs w:val="21"/>
              </w:rPr>
            </w:pPr>
            <w:r>
              <w:rPr>
                <w:rFonts w:hint="eastAsia" w:ascii="宋体" w:hAnsi="宋体" w:eastAsia="宋体" w:cs="宋体"/>
                <w:b/>
                <w:bCs/>
                <w:color w:val="auto"/>
                <w:sz w:val="24"/>
                <w:szCs w:val="21"/>
              </w:rPr>
              <w:t>响应总报价</w:t>
            </w:r>
          </w:p>
        </w:tc>
        <w:tc>
          <w:tcPr>
            <w:tcW w:w="7984" w:type="dxa"/>
            <w:vAlign w:val="center"/>
          </w:tcPr>
          <w:p>
            <w:pPr>
              <w:widowControl/>
              <w:spacing w:line="360" w:lineRule="auto"/>
              <w:rPr>
                <w:rFonts w:ascii="宋体" w:hAnsi="宋体" w:eastAsia="宋体" w:cs="宋体"/>
                <w:b/>
                <w:bCs/>
                <w:color w:val="auto"/>
                <w:sz w:val="24"/>
                <w:szCs w:val="21"/>
              </w:rPr>
            </w:pPr>
            <w:r>
              <w:rPr>
                <w:rFonts w:hint="eastAsia" w:ascii="宋体" w:hAnsi="宋体" w:eastAsia="宋体" w:cs="宋体"/>
                <w:b/>
                <w:bCs/>
                <w:color w:val="auto"/>
                <w:sz w:val="24"/>
                <w:szCs w:val="21"/>
              </w:rPr>
              <w:t>小写：XXXX</w:t>
            </w:r>
          </w:p>
          <w:p>
            <w:pPr>
              <w:widowControl/>
              <w:spacing w:line="360" w:lineRule="auto"/>
              <w:rPr>
                <w:rFonts w:ascii="宋体" w:hAnsi="宋体" w:eastAsia="宋体" w:cs="宋体"/>
                <w:b/>
                <w:bCs/>
                <w:color w:val="auto"/>
                <w:sz w:val="24"/>
                <w:szCs w:val="21"/>
              </w:rPr>
            </w:pPr>
          </w:p>
          <w:p>
            <w:pPr>
              <w:widowControl/>
              <w:spacing w:line="360" w:lineRule="auto"/>
              <w:rPr>
                <w:rFonts w:ascii="宋体" w:hAnsi="宋体" w:eastAsia="宋体" w:cs="宋体"/>
                <w:b/>
                <w:bCs/>
                <w:color w:val="auto"/>
                <w:sz w:val="24"/>
                <w:szCs w:val="21"/>
              </w:rPr>
            </w:pPr>
            <w:r>
              <w:rPr>
                <w:rFonts w:hint="eastAsia" w:ascii="宋体" w:hAnsi="宋体" w:eastAsia="宋体" w:cs="宋体"/>
                <w:b/>
                <w:bCs/>
                <w:color w:val="auto"/>
                <w:sz w:val="24"/>
                <w:szCs w:val="21"/>
              </w:rPr>
              <w:t>大写：XXXX</w:t>
            </w:r>
          </w:p>
        </w:tc>
      </w:tr>
    </w:tbl>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包括保险、代理、安装调试、培训、税费、系统集成费用和比选文件规定的其它费用等</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bookmarkStart w:id="5" w:name="_Toc217446086"/>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widowControl/>
        <w:jc w:val="left"/>
        <w:rPr>
          <w:rFonts w:ascii="宋体" w:hAnsi="宋体" w:eastAsia="宋体" w:cs="宋体"/>
          <w:bCs/>
          <w:color w:val="auto"/>
          <w:sz w:val="24"/>
          <w:szCs w:val="24"/>
        </w:rPr>
      </w:pPr>
      <w:r>
        <w:rPr>
          <w:rFonts w:ascii="宋体" w:hAnsi="宋体" w:eastAsia="宋体" w:cs="宋体"/>
          <w:bCs/>
          <w:color w:val="auto"/>
          <w:sz w:val="24"/>
          <w:szCs w:val="24"/>
        </w:rPr>
        <w:br w:type="page"/>
      </w:r>
    </w:p>
    <w:bookmarkEnd w:id="5"/>
    <w:p>
      <w:pPr>
        <w:pStyle w:val="3"/>
        <w:rPr>
          <w:rFonts w:ascii="华文中宋" w:hAnsi="华文中宋" w:eastAsia="华文中宋" w:cs="宋体"/>
          <w:bCs w:val="0"/>
          <w:color w:val="auto"/>
        </w:rPr>
      </w:pPr>
      <w:r>
        <w:rPr>
          <w:rFonts w:ascii="华文中宋" w:hAnsi="华文中宋" w:eastAsia="华文中宋" w:cs="宋体"/>
          <w:bCs w:val="0"/>
          <w:color w:val="auto"/>
        </w:rPr>
        <w:t>3、承诺函</w:t>
      </w:r>
    </w:p>
    <w:p>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pPr>
        <w:spacing w:before="80" w:after="80" w:line="360" w:lineRule="auto"/>
        <w:ind w:firstLine="480" w:firstLineChars="200"/>
        <w:rPr>
          <w:rFonts w:ascii="宋体" w:hAnsi="宋体" w:eastAsia="宋体" w:cs="宋体"/>
          <w:color w:val="auto"/>
          <w:sz w:val="24"/>
          <w:szCs w:val="24"/>
        </w:rPr>
      </w:pP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pPr>
        <w:spacing w:line="360" w:lineRule="auto"/>
        <w:ind w:firstLine="280"/>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pPr>
        <w:spacing w:line="360" w:lineRule="auto"/>
        <w:jc w:val="left"/>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pPr>
        <w:pStyle w:val="3"/>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both"/>
        <w:rPr>
          <w:rFonts w:ascii="Cambria" w:hAnsi="Cambria" w:cs="Cambria"/>
          <w:b/>
          <w:color w:val="auto"/>
          <w:sz w:val="32"/>
        </w:rPr>
      </w:pPr>
    </w:p>
    <w:p>
      <w:pPr>
        <w:pStyle w:val="3"/>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pPr>
        <w:keepNext/>
        <w:keepLines/>
        <w:spacing w:line="360" w:lineRule="auto"/>
        <w:jc w:val="center"/>
        <w:rPr>
          <w:rFonts w:cs="仿宋" w:asciiTheme="minorEastAsia" w:hAnsiTheme="minorEastAsia"/>
          <w:b/>
          <w:color w:val="auto"/>
          <w:sz w:val="32"/>
        </w:rPr>
      </w:pPr>
      <w:r>
        <w:rPr>
          <w:rFonts w:cs="仿宋" w:asciiTheme="minorEastAsia" w:hAnsiTheme="minorEastAsia"/>
          <w:b/>
          <w:color w:val="auto"/>
          <w:sz w:val="32"/>
        </w:rPr>
        <w:t>（至少包含第三章提到的要求）</w:t>
      </w:r>
    </w:p>
    <w:p>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2"/>
        <w:jc w:val="center"/>
        <w:rPr>
          <w:rFonts w:ascii="华文中宋" w:hAnsi="华文中宋" w:eastAsia="华文中宋" w:cs="宋体"/>
          <w:b w:val="0"/>
          <w:color w:val="auto"/>
        </w:rPr>
      </w:pPr>
      <w:bookmarkStart w:id="6" w:name="_Toc66971934"/>
      <w:bookmarkStart w:id="7" w:name="_Toc686191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6"/>
      <w:bookmarkEnd w:id="7"/>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pPr>
        <w:spacing w:before="80" w:after="80" w:line="360" w:lineRule="auto"/>
        <w:ind w:firstLine="480" w:firstLineChars="200"/>
        <w:rPr>
          <w:rFonts w:cs="宋体" w:asciiTheme="minorEastAsia" w:hAnsiTheme="minorEastAsia"/>
          <w:color w:val="auto"/>
          <w:sz w:val="24"/>
          <w:szCs w:val="24"/>
        </w:rPr>
      </w:pP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2"/>
        <w:jc w:val="center"/>
        <w:rPr>
          <w:rFonts w:ascii="华文中宋" w:hAnsi="华文中宋" w:eastAsia="华文中宋" w:cs="宋体"/>
          <w:b w:val="0"/>
          <w:color w:val="auto"/>
        </w:rPr>
      </w:pPr>
      <w:bookmarkStart w:id="8" w:name="_Toc66971935"/>
      <w:bookmarkStart w:id="9" w:name="_Toc68619135"/>
      <w:r>
        <w:rPr>
          <w:rFonts w:hint="eastAsia" w:ascii="华文中宋" w:hAnsi="华文中宋" w:eastAsia="华文中宋" w:cs="宋体"/>
          <w:b w:val="0"/>
          <w:color w:val="auto"/>
        </w:rPr>
        <w:t xml:space="preserve">第四章 </w:t>
      </w:r>
      <w:r>
        <w:rPr>
          <w:rFonts w:ascii="华文中宋" w:hAnsi="华文中宋" w:eastAsia="华文中宋" w:cs="宋体"/>
          <w:b w:val="0"/>
          <w:color w:val="auto"/>
        </w:rPr>
        <w:t>比选需求</w:t>
      </w:r>
      <w:bookmarkEnd w:id="8"/>
      <w:bookmarkEnd w:id="9"/>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前提：本章中所有内容均为本项目的实质性要求条款，比选申请人不满足的，符合性审查时将不予通过，其比选申请文件将被否决。</w:t>
      </w:r>
    </w:p>
    <w:p>
      <w:pPr>
        <w:keepNext/>
        <w:keepLines/>
        <w:tabs>
          <w:tab w:val="left" w:pos="720"/>
        </w:tabs>
        <w:spacing w:before="260" w:after="260" w:line="360" w:lineRule="auto"/>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pPr>
        <w:pStyle w:val="3"/>
        <w:jc w:val="both"/>
        <w:rPr>
          <w:rFonts w:hint="eastAsia" w:ascii="宋体" w:eastAsia="宋体" w:cs="仿宋"/>
          <w:color w:val="auto"/>
          <w:sz w:val="24"/>
          <w:szCs w:val="24"/>
          <w:lang w:val="en-US" w:eastAsia="zh-CN"/>
        </w:rPr>
      </w:pPr>
      <w:r>
        <w:rPr>
          <w:rFonts w:hint="eastAsia" w:ascii="宋体" w:hAnsi="宋体" w:eastAsia="宋体" w:cs="仿宋"/>
          <w:color w:val="auto"/>
          <w:sz w:val="24"/>
          <w:szCs w:val="24"/>
          <w:lang w:val="en-US" w:eastAsia="zh-CN"/>
        </w:rPr>
        <w:t>医院污水设备维保服务</w:t>
      </w:r>
      <w:r>
        <w:rPr>
          <w:rFonts w:hint="eastAsia" w:ascii="宋体" w:eastAsia="宋体" w:cs="仿宋"/>
          <w:color w:val="auto"/>
          <w:sz w:val="24"/>
          <w:szCs w:val="24"/>
          <w:lang w:val="en-US" w:eastAsia="zh-CN"/>
        </w:rPr>
        <w:t>项目</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36"/>
          <w:szCs w:val="24"/>
        </w:rPr>
        <w:t>*</w:t>
      </w:r>
      <w:r>
        <w:rPr>
          <w:rFonts w:hint="eastAsia" w:ascii="华文中宋" w:hAnsi="华文中宋" w:eastAsia="华文中宋" w:cs="宋体"/>
          <w:bCs w:val="0"/>
          <w:color w:val="auto"/>
          <w:sz w:val="24"/>
          <w:szCs w:val="24"/>
        </w:rPr>
        <w:t>二、商务要求</w:t>
      </w:r>
    </w:p>
    <w:p>
      <w:pPr>
        <w:spacing w:line="360" w:lineRule="auto"/>
        <w:ind w:firstLine="480" w:firstLineChars="200"/>
        <w:rPr>
          <w:rFonts w:ascii="宋体" w:hAnsi="宋体" w:eastAsia="宋体" w:cs="仿宋"/>
          <w:color w:val="auto"/>
          <w:sz w:val="24"/>
          <w:szCs w:val="24"/>
        </w:rPr>
      </w:pPr>
      <w:r>
        <w:rPr>
          <w:rFonts w:hint="eastAsia" w:ascii="宋体" w:hAnsi="宋体" w:eastAsia="宋体" w:cs="仿宋"/>
          <w:color w:val="auto"/>
          <w:sz w:val="24"/>
          <w:szCs w:val="24"/>
        </w:rPr>
        <w:t>1、交货期及交货地点：</w:t>
      </w:r>
    </w:p>
    <w:p>
      <w:pPr>
        <w:spacing w:line="360" w:lineRule="auto"/>
        <w:ind w:firstLine="480" w:firstLineChars="200"/>
        <w:rPr>
          <w:rFonts w:ascii="宋体" w:hAnsi="宋体" w:eastAsia="宋体" w:cs="仿宋"/>
          <w:color w:val="auto"/>
          <w:sz w:val="24"/>
          <w:szCs w:val="24"/>
        </w:rPr>
      </w:pPr>
      <w:r>
        <w:rPr>
          <w:rFonts w:hint="eastAsia" w:ascii="宋体" w:hAnsi="宋体" w:eastAsia="宋体" w:cs="仿宋"/>
          <w:color w:val="auto"/>
          <w:sz w:val="24"/>
          <w:szCs w:val="24"/>
        </w:rPr>
        <w:t>1.1交货期：合同</w:t>
      </w:r>
      <w:r>
        <w:rPr>
          <w:rFonts w:ascii="宋体" w:hAnsi="宋体" w:eastAsia="宋体" w:cs="仿宋"/>
          <w:color w:val="auto"/>
          <w:sz w:val="24"/>
          <w:szCs w:val="24"/>
        </w:rPr>
        <w:t>签订后</w:t>
      </w:r>
      <w:r>
        <w:rPr>
          <w:rFonts w:hint="eastAsia" w:ascii="宋体" w:hAnsi="宋体" w:eastAsia="宋体" w:cs="仿宋"/>
          <w:color w:val="auto"/>
          <w:sz w:val="24"/>
          <w:szCs w:val="24"/>
          <w:lang w:val="en-US" w:eastAsia="zh-CN"/>
        </w:rPr>
        <w:t>每月对污水设备进行维保服务（服务要求详见附件）</w:t>
      </w:r>
      <w:r>
        <w:rPr>
          <w:rFonts w:ascii="宋体" w:hAnsi="宋体" w:eastAsia="宋体" w:cs="仿宋"/>
          <w:color w:val="auto"/>
          <w:sz w:val="24"/>
          <w:szCs w:val="24"/>
        </w:rPr>
        <w:t>。</w:t>
      </w:r>
    </w:p>
    <w:p>
      <w:pPr>
        <w:spacing w:line="360" w:lineRule="auto"/>
        <w:ind w:firstLine="480" w:firstLineChars="200"/>
        <w:rPr>
          <w:rFonts w:ascii="宋体" w:hAnsi="宋体" w:eastAsia="宋体" w:cs="仿宋"/>
          <w:color w:val="auto"/>
          <w:sz w:val="24"/>
          <w:szCs w:val="24"/>
        </w:rPr>
      </w:pPr>
      <w:r>
        <w:rPr>
          <w:rFonts w:hint="eastAsia" w:ascii="宋体" w:hAnsi="宋体" w:eastAsia="宋体" w:cs="仿宋"/>
          <w:color w:val="auto"/>
          <w:sz w:val="24"/>
          <w:szCs w:val="24"/>
        </w:rPr>
        <w:t>1.2交货地点：</w:t>
      </w:r>
      <w:r>
        <w:rPr>
          <w:rFonts w:hint="eastAsia" w:ascii="宋体" w:hAnsi="宋体" w:eastAsia="宋体" w:cs="仿宋"/>
          <w:color w:val="auto"/>
          <w:sz w:val="24"/>
          <w:szCs w:val="24"/>
          <w:lang w:eastAsia="zh-CN"/>
        </w:rPr>
        <w:t>成都市成华区中医医院</w:t>
      </w:r>
      <w:r>
        <w:rPr>
          <w:rFonts w:hint="eastAsia" w:ascii="宋体" w:hAnsi="宋体" w:eastAsia="宋体" w:cs="仿宋"/>
          <w:color w:val="auto"/>
          <w:sz w:val="24"/>
          <w:szCs w:val="24"/>
        </w:rPr>
        <w:t>。</w:t>
      </w:r>
    </w:p>
    <w:p>
      <w:pPr>
        <w:numPr>
          <w:ilvl w:val="0"/>
          <w:numId w:val="3"/>
        </w:numPr>
        <w:spacing w:line="360" w:lineRule="auto"/>
        <w:ind w:firstLine="480" w:firstLineChars="200"/>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rPr>
        <w:t>付款方法和条件：比选申请人按照约定完成</w:t>
      </w:r>
      <w:r>
        <w:rPr>
          <w:rFonts w:hint="eastAsia" w:ascii="宋体" w:hAnsi="宋体" w:eastAsia="宋体" w:cs="仿宋"/>
          <w:color w:val="auto"/>
          <w:sz w:val="24"/>
          <w:szCs w:val="24"/>
          <w:lang w:val="en-US" w:eastAsia="zh-CN"/>
        </w:rPr>
        <w:t>维保服务</w:t>
      </w:r>
      <w:r>
        <w:rPr>
          <w:rFonts w:hint="eastAsia" w:ascii="宋体" w:hAnsi="宋体" w:eastAsia="宋体" w:cs="仿宋"/>
          <w:color w:val="auto"/>
          <w:sz w:val="24"/>
          <w:szCs w:val="24"/>
        </w:rPr>
        <w:t>后，经比选人验收合格</w:t>
      </w:r>
      <w:r>
        <w:rPr>
          <w:rFonts w:hint="eastAsia" w:ascii="宋体" w:hAnsi="宋体" w:eastAsia="宋体" w:cs="仿宋"/>
          <w:color w:val="auto"/>
          <w:sz w:val="24"/>
          <w:szCs w:val="24"/>
          <w:lang w:val="en-US" w:eastAsia="zh-CN"/>
        </w:rPr>
        <w:t>每季度支付维保费。</w:t>
      </w:r>
    </w:p>
    <w:p>
      <w:pPr>
        <w:numPr>
          <w:ilvl w:val="0"/>
          <w:numId w:val="0"/>
        </w:numPr>
        <w:spacing w:line="360" w:lineRule="auto"/>
        <w:ind w:firstLine="480" w:firstLineChars="200"/>
        <w:rPr>
          <w:rFonts w:ascii="宋体" w:hAnsi="宋体" w:eastAsia="宋体" w:cs="仿宋"/>
          <w:color w:val="auto"/>
          <w:sz w:val="24"/>
          <w:szCs w:val="24"/>
        </w:rPr>
      </w:pPr>
      <w:r>
        <w:rPr>
          <w:rFonts w:ascii="宋体" w:hAnsi="宋体" w:eastAsia="宋体" w:cs="仿宋"/>
          <w:color w:val="auto"/>
          <w:sz w:val="24"/>
          <w:szCs w:val="24"/>
        </w:rPr>
        <w:t>3</w:t>
      </w:r>
      <w:r>
        <w:rPr>
          <w:rFonts w:hint="eastAsia" w:ascii="宋体" w:hAnsi="宋体" w:eastAsia="宋体" w:cs="仿宋"/>
          <w:color w:val="auto"/>
          <w:sz w:val="24"/>
          <w:szCs w:val="24"/>
        </w:rPr>
        <w:t>、验收：验收标准以比选文件或比选申请文件和相关行业标准为准。</w:t>
      </w:r>
    </w:p>
    <w:p>
      <w:pPr>
        <w:pStyle w:val="3"/>
        <w:jc w:val="both"/>
        <w:rPr>
          <w:rFonts w:ascii="华文中宋" w:hAnsi="华文中宋" w:eastAsia="华文中宋" w:cs="宋体"/>
          <w:bCs w:val="0"/>
          <w:color w:val="auto"/>
          <w:sz w:val="24"/>
          <w:szCs w:val="24"/>
        </w:rPr>
      </w:pPr>
      <w:r>
        <w:rPr>
          <w:rFonts w:hint="eastAsia" w:ascii="华文中宋" w:hAnsi="华文中宋" w:eastAsia="华文中宋" w:cs="宋体"/>
          <w:bCs w:val="0"/>
          <w:color w:val="auto"/>
          <w:sz w:val="24"/>
          <w:szCs w:val="24"/>
        </w:rPr>
        <w:t>三</w:t>
      </w:r>
      <w:r>
        <w:rPr>
          <w:rFonts w:ascii="华文中宋" w:hAnsi="华文中宋" w:eastAsia="华文中宋" w:cs="宋体"/>
          <w:bCs w:val="0"/>
          <w:color w:val="auto"/>
          <w:sz w:val="24"/>
          <w:szCs w:val="24"/>
        </w:rPr>
        <w:t>、技术要求</w:t>
      </w:r>
      <w:r>
        <w:rPr>
          <w:rFonts w:hint="eastAsia" w:ascii="华文中宋" w:hAnsi="华文中宋" w:eastAsia="华文中宋" w:cs="宋体"/>
          <w:bCs w:val="0"/>
          <w:color w:val="auto"/>
          <w:sz w:val="24"/>
          <w:szCs w:val="24"/>
        </w:rPr>
        <w:t xml:space="preserve"> </w:t>
      </w:r>
      <w:r>
        <w:rPr>
          <w:rFonts w:hint="eastAsia" w:ascii="华文中宋" w:hAnsi="华文中宋" w:eastAsia="华文中宋" w:cs="宋体"/>
          <w:bCs w:val="0"/>
          <w:color w:val="auto"/>
          <w:sz w:val="22"/>
          <w:szCs w:val="24"/>
        </w:rPr>
        <w:t>（参数中涉及到固定尺寸、重量、容积的允许±5%的偏差）</w:t>
      </w:r>
    </w:p>
    <w:p>
      <w:pPr>
        <w:widowControl/>
        <w:jc w:val="left"/>
        <w:rPr>
          <w:rFonts w:ascii="宋体" w:hAnsi="宋体" w:eastAsia="宋体"/>
          <w:color w:val="auto"/>
          <w:sz w:val="24"/>
          <w:szCs w:val="24"/>
        </w:rPr>
      </w:pPr>
      <w:r>
        <w:rPr>
          <w:rFonts w:ascii="宋体" w:hAnsi="宋体" w:eastAsia="宋体" w:cs="宋体"/>
          <w:sz w:val="24"/>
          <w:szCs w:val="24"/>
        </w:rPr>
        <w:t>1.负责污水处理设备（曝气风机、潜水泵、自吸泵、加药泵、除臭设备、紫外线消毒器、管件、阀门、液位计、不锈钢格栅提篮格栅、COD在线分析仪、氨氮在线分析仪、余氯在线分析仪、流量计等）、电子控制系统（控制柜、监控器等）和在线所运用到的软件等的运行维护服务。含技术人员现场维修、培训支持、易损备件更换、解决疑难问题等。</w:t>
      </w:r>
      <w:r>
        <w:rPr>
          <w:rFonts w:ascii="宋体" w:hAnsi="宋体" w:eastAsia="宋体" w:cs="宋体"/>
          <w:sz w:val="24"/>
          <w:szCs w:val="24"/>
        </w:rPr>
        <w:br w:type="textWrapping"/>
      </w:r>
      <w:r>
        <w:rPr>
          <w:rFonts w:ascii="宋体" w:hAnsi="宋体" w:eastAsia="宋体" w:cs="宋体"/>
          <w:sz w:val="24"/>
          <w:szCs w:val="24"/>
        </w:rPr>
        <w:t>2.对数据系统进行管理维护服务，我院指派专人负责污水处理站投药以及每日在线监测仪进行监控，发现异常、第一时间通知服务商，服务商需在2小时内安排人员到现场进行检查、确认。</w:t>
      </w:r>
      <w:r>
        <w:rPr>
          <w:rFonts w:ascii="宋体" w:hAnsi="宋体" w:eastAsia="宋体" w:cs="宋体"/>
          <w:sz w:val="24"/>
          <w:szCs w:val="24"/>
        </w:rPr>
        <w:br w:type="textWrapping"/>
      </w:r>
      <w:r>
        <w:rPr>
          <w:rFonts w:ascii="宋体" w:hAnsi="宋体" w:eastAsia="宋体" w:cs="宋体"/>
          <w:sz w:val="24"/>
          <w:szCs w:val="24"/>
        </w:rPr>
        <w:t>3.保证平台的数据监测数据达到环保要求。</w:t>
      </w:r>
      <w:r>
        <w:rPr>
          <w:rFonts w:ascii="宋体" w:hAnsi="宋体" w:eastAsia="宋体" w:cs="宋体"/>
          <w:sz w:val="24"/>
          <w:szCs w:val="24"/>
        </w:rPr>
        <w:br w:type="textWrapping"/>
      </w:r>
      <w:r>
        <w:rPr>
          <w:rFonts w:ascii="宋体" w:hAnsi="宋体" w:eastAsia="宋体" w:cs="宋体"/>
          <w:sz w:val="24"/>
          <w:szCs w:val="24"/>
        </w:rPr>
        <w:t>4.运维频次不低于1次/1月，仪表校准每月1次，仪表实际水标样比对每月1次，每周对仪表进行质控样考核，且需满足质控要求。质控样考核结果满足水污染源在线监测系统（CODcr、NH3-N 等）验收技术规范（HJ 354-2019代替 HJ_T 354-2007）。若在考核及比对过程中仪表不满足要求，服务商立即对仪表进行整改，直至达到上述要求；建立完善的运行维护记录台账。</w:t>
      </w:r>
      <w:r>
        <w:rPr>
          <w:rFonts w:ascii="宋体" w:hAnsi="宋体" w:eastAsia="宋体" w:cs="宋体"/>
          <w:sz w:val="24"/>
          <w:szCs w:val="24"/>
        </w:rPr>
        <w:br w:type="textWrapping"/>
      </w:r>
      <w:r>
        <w:rPr>
          <w:rFonts w:ascii="宋体" w:hAnsi="宋体" w:eastAsia="宋体" w:cs="宋体"/>
          <w:sz w:val="24"/>
          <w:szCs w:val="24"/>
        </w:rPr>
        <w:t>5.服务商按国家相关部门和环保要求集中收集仪表产生的废液，储存至我院指定的危废储存地点，并建立完善的收集台账，废液处置及收集场地由我院负责。</w:t>
      </w:r>
      <w:r>
        <w:rPr>
          <w:rFonts w:ascii="宋体" w:hAnsi="宋体" w:eastAsia="宋体" w:cs="宋体"/>
          <w:sz w:val="24"/>
          <w:szCs w:val="24"/>
        </w:rPr>
        <w:br w:type="textWrapping"/>
      </w:r>
      <w:r>
        <w:rPr>
          <w:rFonts w:ascii="宋体" w:hAnsi="宋体" w:eastAsia="宋体" w:cs="宋体"/>
          <w:sz w:val="24"/>
          <w:szCs w:val="24"/>
        </w:rPr>
        <w:t>6.严格按照污染源在线自动检测系统各设备的使用说明书和操作规程操作及维护设备，按维护周期进行维护和耗材更换。</w:t>
      </w:r>
      <w:r>
        <w:rPr>
          <w:rFonts w:ascii="宋体" w:hAnsi="宋体" w:eastAsia="宋体" w:cs="宋体"/>
          <w:sz w:val="24"/>
          <w:szCs w:val="24"/>
        </w:rPr>
        <w:br w:type="textWrapping"/>
      </w:r>
      <w:r>
        <w:rPr>
          <w:rFonts w:ascii="宋体" w:hAnsi="宋体" w:eastAsia="宋体" w:cs="宋体"/>
          <w:sz w:val="24"/>
          <w:szCs w:val="24"/>
        </w:rPr>
        <w:t>7.仪表分析所用药剂必须使用该仪器仪表对应品牌和型号的原厂药剂配方。同时定期更换药剂，保证药剂在保质期内，不得因药剂过期未及时更换造成在线监测仪表数据异常。</w:t>
      </w:r>
      <w:r>
        <w:rPr>
          <w:rFonts w:ascii="宋体" w:hAnsi="宋体" w:eastAsia="宋体" w:cs="宋体"/>
          <w:sz w:val="24"/>
          <w:szCs w:val="24"/>
        </w:rPr>
        <w:br w:type="textWrapping"/>
      </w:r>
      <w:r>
        <w:rPr>
          <w:rFonts w:ascii="宋体" w:hAnsi="宋体" w:eastAsia="宋体" w:cs="宋体"/>
          <w:sz w:val="24"/>
          <w:szCs w:val="24"/>
        </w:rPr>
        <w:t>8.运维期间，服务商需保证仪表内管路系统和仪表元器件的清洁，不得因管路系统或仪器仪表的卫生问题影响进行检测的水质，造成在线监测仪表数据异常。</w:t>
      </w:r>
      <w:r>
        <w:rPr>
          <w:rFonts w:ascii="宋体" w:hAnsi="宋体" w:eastAsia="宋体" w:cs="宋体"/>
          <w:sz w:val="24"/>
          <w:szCs w:val="24"/>
        </w:rPr>
        <w:br w:type="textWrapping"/>
      </w:r>
      <w:r>
        <w:rPr>
          <w:rFonts w:ascii="宋体" w:hAnsi="宋体" w:eastAsia="宋体" w:cs="宋体"/>
          <w:sz w:val="24"/>
          <w:szCs w:val="24"/>
        </w:rPr>
        <w:t>9.负责配合环保部门对在线系统的例行及临时性比对监测、检查、监督工作，保障在线仪表运行正常，并按要求报送相关监测数据及报表。</w:t>
      </w:r>
      <w:r>
        <w:rPr>
          <w:rFonts w:ascii="宋体" w:hAnsi="宋体" w:eastAsia="宋体" w:cs="宋体"/>
          <w:sz w:val="24"/>
          <w:szCs w:val="24"/>
        </w:rPr>
        <w:br w:type="textWrapping"/>
      </w:r>
      <w:r>
        <w:rPr>
          <w:rFonts w:ascii="宋体" w:hAnsi="宋体" w:eastAsia="宋体" w:cs="宋体"/>
          <w:sz w:val="24"/>
          <w:szCs w:val="24"/>
        </w:rPr>
        <w:t>10.现场服务各项记录完整、规范，并放置整齐。</w:t>
      </w:r>
      <w:r>
        <w:rPr>
          <w:rFonts w:ascii="宋体" w:hAnsi="宋体" w:eastAsia="宋体" w:cs="宋体"/>
          <w:sz w:val="24"/>
          <w:szCs w:val="24"/>
        </w:rPr>
        <w:br w:type="textWrapping"/>
      </w:r>
      <w:r>
        <w:rPr>
          <w:rFonts w:ascii="宋体" w:hAnsi="宋体" w:eastAsia="宋体" w:cs="宋体"/>
          <w:sz w:val="24"/>
          <w:szCs w:val="24"/>
        </w:rPr>
        <w:t>11. 如有未列举的维护事项，服务商按照《水污染源在线监测系统（CODCr、NH3-N 等）运行技术规范》（HJ 355-2019代替 HJ_T 355-2007）中的运行与日常维护要求负责现场监控仪器日常运行维护管理；</w:t>
      </w:r>
      <w:r>
        <w:rPr>
          <w:rFonts w:ascii="宋体" w:hAnsi="宋体" w:eastAsia="宋体" w:cs="宋体"/>
          <w:sz w:val="24"/>
          <w:szCs w:val="24"/>
        </w:rPr>
        <w:br w:type="textWrapping"/>
      </w:r>
      <w:r>
        <w:rPr>
          <w:rFonts w:ascii="宋体" w:hAnsi="宋体" w:eastAsia="宋体" w:cs="宋体"/>
          <w:sz w:val="24"/>
          <w:szCs w:val="24"/>
        </w:rPr>
        <w:t>12．运营维护期间所有配件及耗材损坏或故障，维修费用500元以内，由服务商免费维修及更换。</w:t>
      </w:r>
      <w:bookmarkStart w:id="12" w:name="_GoBack"/>
      <w:bookmarkEnd w:id="12"/>
      <w:r>
        <w:rPr>
          <w:rFonts w:ascii="宋体" w:hAnsi="宋体" w:eastAsia="宋体"/>
          <w:color w:val="auto"/>
          <w:sz w:val="24"/>
          <w:szCs w:val="24"/>
        </w:rPr>
        <w:br w:type="page"/>
      </w:r>
    </w:p>
    <w:p>
      <w:pPr>
        <w:pStyle w:val="2"/>
        <w:jc w:val="center"/>
        <w:rPr>
          <w:rFonts w:ascii="华文中宋" w:hAnsi="华文中宋" w:eastAsia="华文中宋" w:cs="宋体"/>
          <w:b w:val="0"/>
          <w:color w:val="auto"/>
        </w:rPr>
      </w:pPr>
      <w:bookmarkStart w:id="10" w:name="_Toc68619136"/>
      <w:bookmarkStart w:id="11" w:name="_Toc66971936"/>
      <w:r>
        <w:rPr>
          <w:rFonts w:ascii="华文中宋" w:hAnsi="华文中宋" w:eastAsia="华文中宋" w:cs="宋体"/>
          <w:b w:val="0"/>
          <w:color w:val="auto"/>
        </w:rPr>
        <w:t>第</w:t>
      </w:r>
      <w:r>
        <w:rPr>
          <w:rFonts w:hint="eastAsia" w:ascii="华文中宋" w:hAnsi="华文中宋" w:eastAsia="华文中宋" w:cs="宋体"/>
          <w:b w:val="0"/>
          <w:color w:val="auto"/>
        </w:rPr>
        <w:t>五</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评审办法</w:t>
      </w:r>
      <w:bookmarkEnd w:id="10"/>
      <w:bookmarkEnd w:id="11"/>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（1）审查比选申请文件是否符合比选文件要求，并作出评价；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（2）要求比选申请人对比选申请文件有关事项作出解释或者澄清；</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（3）推荐中选候选人名单；</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（4）向比选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或者有关部门报告非法干预评审工作的行为。</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2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2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3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按照要求报名登记并购买比选文件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20"/>
        <w:tblW w:w="9736" w:type="dxa"/>
        <w:jc w:val="center"/>
        <w:tblLayout w:type="fixed"/>
        <w:tblCellMar>
          <w:top w:w="0" w:type="dxa"/>
          <w:left w:w="108" w:type="dxa"/>
          <w:bottom w:w="0" w:type="dxa"/>
          <w:right w:w="108" w:type="dxa"/>
        </w:tblCellMar>
      </w:tblPr>
      <w:tblGrid>
        <w:gridCol w:w="722"/>
        <w:gridCol w:w="1227"/>
        <w:gridCol w:w="884"/>
        <w:gridCol w:w="6903"/>
      </w:tblGrid>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22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w:t>
            </w:r>
          </w:p>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因素</w:t>
            </w:r>
          </w:p>
        </w:tc>
        <w:tc>
          <w:tcPr>
            <w:tcW w:w="8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分值</w:t>
            </w:r>
          </w:p>
        </w:tc>
        <w:tc>
          <w:tcPr>
            <w:tcW w:w="690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评分依据</w:t>
            </w: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22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报价</w:t>
            </w:r>
          </w:p>
        </w:tc>
        <w:tc>
          <w:tcPr>
            <w:tcW w:w="8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分</w:t>
            </w:r>
          </w:p>
        </w:tc>
        <w:tc>
          <w:tcPr>
            <w:tcW w:w="6903"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以本次最低有效比选报价为基准价，</w:t>
            </w:r>
            <w:r>
              <w:rPr>
                <w:rFonts w:hint="eastAsia" w:ascii="宋体" w:hAnsi="宋体" w:eastAsia="宋体" w:cs="宋体"/>
                <w:color w:val="auto"/>
                <w:szCs w:val="21"/>
                <w:lang w:val="en-US" w:eastAsia="zh-CN"/>
              </w:rPr>
              <w:t>其价格为满分，</w:t>
            </w:r>
            <w:r>
              <w:rPr>
                <w:rFonts w:hint="eastAsia" w:ascii="宋体" w:hAnsi="宋体" w:eastAsia="宋体" w:cs="宋体"/>
                <w:color w:val="auto"/>
                <w:szCs w:val="21"/>
              </w:rPr>
              <w:t>报价得分=(基准价／比选报价)×</w:t>
            </w:r>
            <w:r>
              <w:rPr>
                <w:rFonts w:hint="eastAsia" w:ascii="宋体" w:hAnsi="宋体" w:eastAsia="宋体" w:cs="宋体"/>
                <w:color w:val="auto"/>
                <w:szCs w:val="21"/>
                <w:lang w:val="en-US" w:eastAsia="zh-CN"/>
              </w:rPr>
              <w:t>30</w:t>
            </w:r>
            <w:r>
              <w:rPr>
                <w:rFonts w:hint="eastAsia" w:ascii="宋体" w:hAnsi="宋体" w:eastAsia="宋体" w:cs="宋体"/>
                <w:color w:val="auto"/>
                <w:szCs w:val="21"/>
              </w:rPr>
              <w:t>。</w:t>
            </w:r>
          </w:p>
        </w:tc>
      </w:tr>
      <w:tr>
        <w:tblPrEx>
          <w:tblCellMar>
            <w:top w:w="0" w:type="dxa"/>
            <w:left w:w="108" w:type="dxa"/>
            <w:bottom w:w="0" w:type="dxa"/>
            <w:right w:w="108" w:type="dxa"/>
          </w:tblCellMar>
        </w:tblPrEx>
        <w:trPr>
          <w:trHeight w:val="3575"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2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项目履约</w:t>
            </w:r>
          </w:p>
        </w:tc>
        <w:tc>
          <w:tcPr>
            <w:tcW w:w="884"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50分</w:t>
            </w:r>
          </w:p>
        </w:tc>
        <w:tc>
          <w:tcPr>
            <w:tcW w:w="6903"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1.质量控制与措施（20分）：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根据供应商针对本项目提供的①质量保证措施②质量保证承诺进行评分，内容全面合理、操作性强得20分，有任意一项内容缺失或不满足上述要求或与本项目无关的扣2分，扣完为止。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2.服务与响应（30分）：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r>
              <w:rPr>
                <w:rFonts w:hint="eastAsia" w:ascii="宋体" w:hAnsi="宋体" w:eastAsia="宋体" w:cs="宋体"/>
                <w:color w:val="auto"/>
                <w:kern w:val="2"/>
                <w:sz w:val="21"/>
                <w:szCs w:val="21"/>
                <w:lang w:val="en-US" w:eastAsia="zh-CN" w:bidi="ar-SA"/>
              </w:rPr>
              <w:t>根据供应商针对本项目服务方案进行评分，方案至少包含①后期维修服务流程②响应时效性③人员配备情况④巡检制度⑤增值服务。以上内容针对性强，实施性强，完全满足采购需求的得30分，有任意一项内容缺失或不满足上述要求或不与本项目无关的扣6分，扣完为止。</w:t>
            </w:r>
          </w:p>
        </w:tc>
      </w:tr>
      <w:tr>
        <w:tblPrEx>
          <w:tblCellMar>
            <w:top w:w="0" w:type="dxa"/>
            <w:left w:w="108" w:type="dxa"/>
            <w:bottom w:w="0" w:type="dxa"/>
            <w:right w:w="108" w:type="dxa"/>
          </w:tblCellMar>
        </w:tblPrEx>
        <w:trPr>
          <w:trHeight w:val="714"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2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供应商人员配备情况</w:t>
            </w:r>
          </w:p>
        </w:tc>
        <w:tc>
          <w:tcPr>
            <w:tcW w:w="884"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5分</w:t>
            </w:r>
          </w:p>
        </w:tc>
        <w:tc>
          <w:tcPr>
            <w:tcW w:w="6903"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根据供应商提供的人员配备情况进行评审。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人员配备在数量上满足本项目实际需求，各项技术人员配备完整，有相关岗位工作人员资质得5-3分。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人员配备在数量上满足本项目实际需求，各项技术人员配备基本符合采购需求得3-1分。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各项技术人员配备有欠缺的得1-0分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r>
              <w:rPr>
                <w:rFonts w:hint="eastAsia" w:ascii="宋体" w:hAnsi="宋体" w:eastAsia="宋体" w:cs="宋体"/>
                <w:color w:val="auto"/>
                <w:kern w:val="2"/>
                <w:sz w:val="21"/>
                <w:szCs w:val="21"/>
                <w:lang w:val="en-US" w:eastAsia="zh-CN" w:bidi="ar-SA"/>
              </w:rPr>
              <w:t>注：提供证书复印件并加盖供应商公章</w:t>
            </w:r>
          </w:p>
        </w:tc>
      </w:tr>
      <w:tr>
        <w:tblPrEx>
          <w:tblCellMar>
            <w:top w:w="0" w:type="dxa"/>
            <w:left w:w="108" w:type="dxa"/>
            <w:bottom w:w="0" w:type="dxa"/>
            <w:right w:w="108" w:type="dxa"/>
          </w:tblCellMar>
        </w:tblPrEx>
        <w:trPr>
          <w:trHeight w:val="1358"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2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业绩</w:t>
            </w:r>
          </w:p>
        </w:tc>
        <w:tc>
          <w:tcPr>
            <w:tcW w:w="884"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10分</w:t>
            </w:r>
          </w:p>
        </w:tc>
        <w:tc>
          <w:tcPr>
            <w:tcW w:w="6903"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2019年1月1日（含）以来每具有1个类似业绩得5分，最高得10分。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r>
              <w:rPr>
                <w:rFonts w:hint="eastAsia" w:ascii="宋体" w:hAnsi="宋体" w:eastAsia="宋体" w:cs="宋体"/>
                <w:color w:val="auto"/>
                <w:kern w:val="2"/>
                <w:sz w:val="21"/>
                <w:szCs w:val="21"/>
                <w:lang w:val="en-US" w:eastAsia="zh-CN" w:bidi="ar-SA"/>
              </w:rPr>
              <w:t>注：供应商提供中标通知书或采购合同复印件，加盖供应商公章。</w:t>
            </w: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2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比选申请文件的规范性</w:t>
            </w:r>
          </w:p>
        </w:tc>
        <w:tc>
          <w:tcPr>
            <w:tcW w:w="8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6903"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比选申请文件制作规范，没有细微偏差情形的得</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分；有一项细微偏差扣1分，直至该项分值扣完为止。</w:t>
            </w:r>
          </w:p>
        </w:tc>
      </w:tr>
    </w:tbl>
    <w:p>
      <w:pPr>
        <w:ind w:firstLine="240" w:firstLineChars="100"/>
        <w:rPr>
          <w:color w:val="auto"/>
          <w:sz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pPr>
        <w:pStyle w:val="3"/>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pPr>
        <w:rPr>
          <w:rFonts w:ascii="宋体" w:hAnsi="宋体" w:eastAsia="宋体" w:cs="宋体"/>
          <w:color w:val="auto"/>
          <w:sz w:val="24"/>
        </w:rPr>
      </w:pPr>
      <w:r>
        <w:rPr>
          <w:rFonts w:ascii="宋体" w:hAnsi="宋体" w:eastAsia="宋体" w:cs="宋体"/>
          <w:color w:val="auto"/>
          <w:sz w:val="24"/>
        </w:rPr>
        <w:br w:type="page"/>
      </w:r>
    </w:p>
    <w:p>
      <w:pPr>
        <w:spacing w:line="400" w:lineRule="auto"/>
        <w:ind w:firstLine="482"/>
        <w:rPr>
          <w:rFonts w:ascii="宋体" w:hAnsi="宋体" w:eastAsia="宋体" w:cs="宋体"/>
          <w:b/>
          <w:color w:val="auto"/>
          <w:sz w:val="24"/>
        </w:rPr>
        <w:sectPr>
          <w:footerReference r:id="rId5" w:type="default"/>
          <w:type w:val="continuous"/>
          <w:pgSz w:w="11906" w:h="16838"/>
          <w:pgMar w:top="1440" w:right="1080" w:bottom="1440" w:left="1080" w:header="851" w:footer="992" w:gutter="0"/>
          <w:pgNumType w:start="1"/>
          <w:cols w:space="425" w:num="1"/>
          <w:docGrid w:type="lines" w:linePitch="312" w:charSpace="0"/>
        </w:sectPr>
      </w:pPr>
    </w:p>
    <w:p>
      <w:pPr>
        <w:spacing w:line="400" w:lineRule="auto"/>
        <w:ind w:firstLine="482"/>
        <w:rPr>
          <w:rFonts w:ascii="Times New Roman" w:hAnsi="Times New Roman" w:eastAsia="Times New Roman" w:cs="Times New Roman"/>
          <w:color w:val="auto"/>
          <w:sz w:val="34"/>
        </w:rPr>
      </w:pPr>
      <w:r>
        <w:rPr>
          <w:rFonts w:ascii="宋体" w:hAnsi="宋体" w:eastAsia="宋体" w:cs="宋体"/>
          <w:b/>
          <w:color w:val="auto"/>
          <w:sz w:val="24"/>
        </w:rPr>
        <w:t>附件</w:t>
      </w:r>
      <w:r>
        <w:rPr>
          <w:rFonts w:ascii="Times New Roman" w:hAnsi="Times New Roman" w:eastAsia="Times New Roman" w:cs="Times New Roman"/>
          <w:b/>
          <w:color w:val="auto"/>
          <w:sz w:val="24"/>
        </w:rPr>
        <w:t>1</w:t>
      </w:r>
      <w:r>
        <w:rPr>
          <w:rFonts w:ascii="宋体" w:hAnsi="宋体" w:eastAsia="宋体" w:cs="宋体"/>
          <w:b/>
          <w:color w:val="auto"/>
          <w:sz w:val="28"/>
        </w:rPr>
        <w:t>递交响应文件签收表</w:t>
      </w:r>
    </w:p>
    <w:tbl>
      <w:tblPr>
        <w:tblStyle w:val="20"/>
        <w:tblW w:w="13958" w:type="dxa"/>
        <w:tblInd w:w="0" w:type="dxa"/>
        <w:tblLayout w:type="fixed"/>
        <w:tblCellMar>
          <w:top w:w="0" w:type="dxa"/>
          <w:left w:w="10" w:type="dxa"/>
          <w:bottom w:w="0" w:type="dxa"/>
          <w:right w:w="10" w:type="dxa"/>
        </w:tblCellMar>
      </w:tblPr>
      <w:tblGrid>
        <w:gridCol w:w="1418"/>
        <w:gridCol w:w="3403"/>
        <w:gridCol w:w="1951"/>
        <w:gridCol w:w="1734"/>
        <w:gridCol w:w="1641"/>
        <w:gridCol w:w="3811"/>
      </w:tblGrid>
      <w:tr>
        <w:tblPrEx>
          <w:tblCellMar>
            <w:top w:w="0" w:type="dxa"/>
            <w:left w:w="10" w:type="dxa"/>
            <w:bottom w:w="0" w:type="dxa"/>
            <w:right w:w="10" w:type="dxa"/>
          </w:tblCellMar>
        </w:tblPrEx>
        <w:trPr>
          <w:trHeight w:val="538" w:hRule="atLeast"/>
        </w:trPr>
        <w:tc>
          <w:tcPr>
            <w:tcW w:w="13958" w:type="dxa"/>
            <w:gridSpan w:val="6"/>
            <w:shd w:val="clear" w:color="000000" w:fill="FFFFFF"/>
            <w:tcMar>
              <w:left w:w="14" w:type="dxa"/>
              <w:right w:w="14" w:type="dxa"/>
            </w:tcMar>
            <w:vAlign w:val="center"/>
          </w:tcPr>
          <w:p>
            <w:pPr>
              <w:jc w:val="center"/>
              <w:rPr>
                <w:rFonts w:ascii="宋体" w:hAnsi="宋体" w:eastAsia="宋体" w:cs="宋体"/>
                <w:b/>
                <w:color w:val="auto"/>
              </w:rPr>
            </w:pPr>
            <w:r>
              <w:rPr>
                <w:rFonts w:ascii="宋体" w:hAnsi="宋体" w:eastAsia="宋体" w:cs="宋体"/>
                <w:b/>
                <w:color w:val="auto"/>
                <w:sz w:val="32"/>
                <w:szCs w:val="28"/>
                <w:u w:val="single"/>
              </w:rPr>
              <w:t>递交比选文件签收表</w:t>
            </w:r>
          </w:p>
        </w:tc>
      </w:tr>
      <w:tr>
        <w:tblPrEx>
          <w:tblCellMar>
            <w:top w:w="0" w:type="dxa"/>
            <w:left w:w="10" w:type="dxa"/>
            <w:bottom w:w="0" w:type="dxa"/>
            <w:right w:w="10" w:type="dxa"/>
          </w:tblCellMar>
        </w:tblPrEx>
        <w:trPr>
          <w:trHeight w:val="463" w:hRule="atLeast"/>
        </w:trPr>
        <w:tc>
          <w:tcPr>
            <w:tcW w:w="1418" w:type="dxa"/>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项目名称：</w:t>
            </w:r>
          </w:p>
        </w:tc>
        <w:tc>
          <w:tcPr>
            <w:tcW w:w="7088" w:type="dxa"/>
            <w:gridSpan w:val="3"/>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比选编号：</w:t>
            </w:r>
          </w:p>
        </w:tc>
        <w:tc>
          <w:tcPr>
            <w:tcW w:w="3811" w:type="dxa"/>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463" w:hRule="atLeast"/>
        </w:trPr>
        <w:tc>
          <w:tcPr>
            <w:tcW w:w="1418"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比选时间：</w:t>
            </w:r>
          </w:p>
        </w:tc>
        <w:tc>
          <w:tcPr>
            <w:tcW w:w="7088" w:type="dxa"/>
            <w:gridSpan w:val="3"/>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比选地点：</w:t>
            </w:r>
          </w:p>
        </w:tc>
        <w:tc>
          <w:tcPr>
            <w:tcW w:w="381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1231"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包号</w:t>
            </w:r>
          </w:p>
        </w:tc>
        <w:tc>
          <w:tcPr>
            <w:tcW w:w="3403"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比选申请人</w:t>
            </w:r>
          </w:p>
        </w:tc>
        <w:tc>
          <w:tcPr>
            <w:tcW w:w="195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递交时间</w:t>
            </w:r>
          </w:p>
        </w:tc>
        <w:tc>
          <w:tcPr>
            <w:tcW w:w="1734"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b/>
                <w:color w:val="auto"/>
                <w:sz w:val="24"/>
              </w:rPr>
            </w:pPr>
            <w:r>
              <w:rPr>
                <w:rFonts w:ascii="宋体" w:hAnsi="宋体" w:eastAsia="宋体" w:cs="宋体"/>
                <w:b/>
                <w:color w:val="auto"/>
                <w:sz w:val="24"/>
              </w:rPr>
              <w:t>密封合格与否</w:t>
            </w:r>
          </w:p>
          <w:p>
            <w:pPr>
              <w:jc w:val="center"/>
              <w:rPr>
                <w:color w:val="auto"/>
              </w:rPr>
            </w:pPr>
            <w:r>
              <w:rPr>
                <w:rFonts w:ascii="宋体" w:hAnsi="宋体" w:eastAsia="宋体" w:cs="宋体"/>
                <w:b/>
                <w:color w:val="auto"/>
                <w:sz w:val="24"/>
              </w:rPr>
              <w:t>（签收人确认）</w:t>
            </w:r>
          </w:p>
        </w:tc>
        <w:tc>
          <w:tcPr>
            <w:tcW w:w="164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联系人</w:t>
            </w: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联系方式</w:t>
            </w:r>
          </w:p>
        </w:tc>
      </w:tr>
      <w:tr>
        <w:tblPrEx>
          <w:tblCellMar>
            <w:top w:w="0" w:type="dxa"/>
            <w:left w:w="10" w:type="dxa"/>
            <w:bottom w:w="0" w:type="dxa"/>
            <w:right w:w="10" w:type="dxa"/>
          </w:tblCellMar>
        </w:tblPrEx>
        <w:trPr>
          <w:trHeight w:val="542"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color w:val="auto"/>
                <w:sz w:val="24"/>
                <w:u w:val="single"/>
              </w:rPr>
            </w:pPr>
            <w:r>
              <w:rPr>
                <w:rFonts w:ascii="宋体" w:hAnsi="宋体" w:eastAsia="宋体" w:cs="宋体"/>
                <w:color w:val="auto"/>
                <w:sz w:val="24"/>
              </w:rPr>
              <w:t>年</w:t>
            </w:r>
            <w:r>
              <w:rPr>
                <w:rFonts w:hint="eastAsia" w:ascii="宋体" w:hAnsi="宋体" w:eastAsia="宋体" w:cs="宋体"/>
                <w:color w:val="auto"/>
                <w:sz w:val="24"/>
              </w:rPr>
              <w:t xml:space="preserve"> </w:t>
            </w:r>
            <w:r>
              <w:rPr>
                <w:rFonts w:ascii="宋体" w:hAnsi="宋体" w:eastAsia="宋体" w:cs="宋体"/>
                <w:color w:val="auto"/>
                <w:sz w:val="24"/>
              </w:rPr>
              <w:t xml:space="preserve"> 月</w:t>
            </w:r>
            <w:r>
              <w:rPr>
                <w:rFonts w:hint="eastAsia" w:ascii="宋体" w:hAnsi="宋体" w:eastAsia="宋体" w:cs="宋体"/>
                <w:color w:val="auto"/>
                <w:sz w:val="24"/>
              </w:rPr>
              <w:t xml:space="preserve"> </w:t>
            </w:r>
            <w:r>
              <w:rPr>
                <w:rFonts w:ascii="宋体" w:hAnsi="宋体" w:eastAsia="宋体" w:cs="宋体"/>
                <w:color w:val="auto"/>
                <w:sz w:val="24"/>
              </w:rPr>
              <w:t xml:space="preserve"> 日</w:t>
            </w:r>
          </w:p>
          <w:p>
            <w:pPr>
              <w:jc w:val="center"/>
              <w:rPr>
                <w:color w:val="auto"/>
              </w:rPr>
            </w:pPr>
            <w:r>
              <w:rPr>
                <w:rFonts w:ascii="宋体" w:hAnsi="宋体" w:eastAsia="宋体" w:cs="宋体"/>
                <w:color w:val="auto"/>
                <w:sz w:val="24"/>
              </w:rPr>
              <w:t>时</w:t>
            </w:r>
            <w:r>
              <w:rPr>
                <w:rFonts w:hint="eastAsia" w:ascii="宋体" w:hAnsi="宋体" w:eastAsia="宋体" w:cs="宋体"/>
                <w:color w:val="auto"/>
                <w:sz w:val="24"/>
              </w:rPr>
              <w:t xml:space="preserve"> </w:t>
            </w:r>
            <w:r>
              <w:rPr>
                <w:rFonts w:ascii="宋体" w:hAnsi="宋体" w:eastAsia="宋体" w:cs="宋体"/>
                <w:color w:val="auto"/>
                <w:sz w:val="24"/>
              </w:rPr>
              <w:t xml:space="preserve"> 分</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color w:val="auto"/>
                <w:sz w:val="24"/>
              </w:rPr>
            </w:pPr>
            <w:r>
              <w:rPr>
                <w:rFonts w:ascii="宋体" w:hAnsi="宋体" w:eastAsia="宋体" w:cs="宋体"/>
                <w:color w:val="auto"/>
                <w:sz w:val="24"/>
              </w:rPr>
              <w:t>□是</w:t>
            </w:r>
          </w:p>
          <w:p>
            <w:pPr>
              <w:jc w:val="center"/>
              <w:rPr>
                <w:rFonts w:ascii="Times New Roman" w:hAnsi="Times New Roman" w:eastAsia="Times New Roman" w:cs="Times New Roman"/>
                <w:color w:val="auto"/>
                <w:sz w:val="24"/>
              </w:rPr>
            </w:pPr>
          </w:p>
          <w:p>
            <w:pPr>
              <w:jc w:val="center"/>
              <w:rPr>
                <w:color w:val="auto"/>
              </w:rPr>
            </w:pPr>
            <w:r>
              <w:rPr>
                <w:rFonts w:ascii="宋体" w:hAnsi="宋体" w:eastAsia="宋体" w:cs="宋体"/>
                <w:color w:val="auto"/>
                <w:sz w:val="24"/>
              </w:rPr>
              <w:t>□否</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电话：</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传真：</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手机：</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773"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color w:val="auto"/>
                <w:sz w:val="24"/>
              </w:rPr>
              <w:t>签收人：</w:t>
            </w:r>
          </w:p>
        </w:tc>
        <w:tc>
          <w:tcPr>
            <w:tcW w:w="12540" w:type="dxa"/>
            <w:gridSpan w:val="5"/>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898" w:hRule="atLeast"/>
        </w:trPr>
        <w:tc>
          <w:tcPr>
            <w:tcW w:w="13958" w:type="dxa"/>
            <w:gridSpan w:val="6"/>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color w:val="auto"/>
                <w:sz w:val="24"/>
              </w:rPr>
              <w:t>备注：本递交表一式两份，接收人签字后生效，由递交人和接收人各执一份。请以正楷字填写，各项目内容，“递交时间”、“联系人”、请在现场签收时填写。</w:t>
            </w:r>
          </w:p>
        </w:tc>
      </w:tr>
    </w:tbl>
    <w:p>
      <w:pPr>
        <w:keepNext/>
        <w:keepLines/>
        <w:spacing w:line="360" w:lineRule="auto"/>
        <w:jc w:val="center"/>
        <w:rPr>
          <w:rFonts w:ascii="Times New Roman" w:hAnsi="Times New Roman" w:eastAsia="Times New Roman" w:cs="Times New Roman"/>
          <w:b/>
          <w:color w:val="auto"/>
          <w:sz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14"/>
          <w:jc w:val="center"/>
        </w:pPr>
        <w:r>
          <w:t xml:space="preserve">     </w:t>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1FC3E162"/>
    <w:multiLevelType w:val="singleLevel"/>
    <w:tmpl w:val="1FC3E162"/>
    <w:lvl w:ilvl="0" w:tentative="0">
      <w:start w:val="6"/>
      <w:numFmt w:val="chineseCounting"/>
      <w:suff w:val="nothing"/>
      <w:lvlText w:val="%1、"/>
      <w:lvlJc w:val="left"/>
      <w:rPr>
        <w:rFonts w:hint="eastAsia"/>
      </w:rPr>
    </w:lvl>
  </w:abstractNum>
  <w:abstractNum w:abstractNumId="2">
    <w:nsid w:val="56FAEFBE"/>
    <w:multiLevelType w:val="singleLevel"/>
    <w:tmpl w:val="56FAEFBE"/>
    <w:lvl w:ilvl="0" w:tentative="0">
      <w:start w:val="2"/>
      <w:numFmt w:val="decimal"/>
      <w:suff w:val="nothing"/>
      <w:lvlText w:val="%1、"/>
      <w:lvlJc w:val="left"/>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BC"/>
    <w:rsid w:val="00002A0C"/>
    <w:rsid w:val="00004AAB"/>
    <w:rsid w:val="00011292"/>
    <w:rsid w:val="00013733"/>
    <w:rsid w:val="0001641A"/>
    <w:rsid w:val="00016C7E"/>
    <w:rsid w:val="00024DB1"/>
    <w:rsid w:val="00033ECD"/>
    <w:rsid w:val="0006227F"/>
    <w:rsid w:val="00062A4E"/>
    <w:rsid w:val="00071CA5"/>
    <w:rsid w:val="000736E7"/>
    <w:rsid w:val="000738F6"/>
    <w:rsid w:val="000752D6"/>
    <w:rsid w:val="00075D2F"/>
    <w:rsid w:val="00093583"/>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41157"/>
    <w:rsid w:val="00342AEC"/>
    <w:rsid w:val="003515C2"/>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6BD1"/>
    <w:rsid w:val="00487F6C"/>
    <w:rsid w:val="00490FFF"/>
    <w:rsid w:val="004A50F1"/>
    <w:rsid w:val="004C2BCB"/>
    <w:rsid w:val="004C5DF5"/>
    <w:rsid w:val="004D4438"/>
    <w:rsid w:val="004D4D7B"/>
    <w:rsid w:val="004D65D6"/>
    <w:rsid w:val="004E2287"/>
    <w:rsid w:val="004E4E8A"/>
    <w:rsid w:val="004F0B1E"/>
    <w:rsid w:val="004F220D"/>
    <w:rsid w:val="005033FD"/>
    <w:rsid w:val="00505015"/>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532F5"/>
    <w:rsid w:val="00B701F3"/>
    <w:rsid w:val="00B70830"/>
    <w:rsid w:val="00B778D1"/>
    <w:rsid w:val="00B84AC5"/>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7761"/>
    <w:rsid w:val="00F67F58"/>
    <w:rsid w:val="00F80100"/>
    <w:rsid w:val="00F82362"/>
    <w:rsid w:val="00F86396"/>
    <w:rsid w:val="00F86920"/>
    <w:rsid w:val="00F86AF9"/>
    <w:rsid w:val="00FA24D9"/>
    <w:rsid w:val="00FA6745"/>
    <w:rsid w:val="00FB727B"/>
    <w:rsid w:val="00FB79E1"/>
    <w:rsid w:val="00FC4211"/>
    <w:rsid w:val="00FC53F8"/>
    <w:rsid w:val="00FD4093"/>
    <w:rsid w:val="00FD429F"/>
    <w:rsid w:val="00FE1246"/>
    <w:rsid w:val="00FE1D3E"/>
    <w:rsid w:val="05542851"/>
    <w:rsid w:val="08467869"/>
    <w:rsid w:val="085B3E17"/>
    <w:rsid w:val="09B61229"/>
    <w:rsid w:val="0A797252"/>
    <w:rsid w:val="0C0F5B99"/>
    <w:rsid w:val="0CCE7C56"/>
    <w:rsid w:val="0D1A44CC"/>
    <w:rsid w:val="0D3A5A37"/>
    <w:rsid w:val="0E2945A7"/>
    <w:rsid w:val="101912FD"/>
    <w:rsid w:val="12DD686E"/>
    <w:rsid w:val="15303EDC"/>
    <w:rsid w:val="159F277F"/>
    <w:rsid w:val="172272E9"/>
    <w:rsid w:val="17B50D2A"/>
    <w:rsid w:val="1C9E68A1"/>
    <w:rsid w:val="1CA31112"/>
    <w:rsid w:val="206E5E16"/>
    <w:rsid w:val="22230F15"/>
    <w:rsid w:val="241362F0"/>
    <w:rsid w:val="26E95E27"/>
    <w:rsid w:val="2BDD02B4"/>
    <w:rsid w:val="2C8F6D56"/>
    <w:rsid w:val="2E570437"/>
    <w:rsid w:val="2EB63029"/>
    <w:rsid w:val="2F392A40"/>
    <w:rsid w:val="2FF373FB"/>
    <w:rsid w:val="31B91B44"/>
    <w:rsid w:val="31E43583"/>
    <w:rsid w:val="32A74071"/>
    <w:rsid w:val="346804F6"/>
    <w:rsid w:val="39000741"/>
    <w:rsid w:val="3BAC78BD"/>
    <w:rsid w:val="3DEF40D0"/>
    <w:rsid w:val="3E8B29DF"/>
    <w:rsid w:val="3EE406BB"/>
    <w:rsid w:val="3F767FC2"/>
    <w:rsid w:val="41263489"/>
    <w:rsid w:val="455E1D85"/>
    <w:rsid w:val="4BAC45CF"/>
    <w:rsid w:val="529A362A"/>
    <w:rsid w:val="536129AF"/>
    <w:rsid w:val="59167285"/>
    <w:rsid w:val="5A42058A"/>
    <w:rsid w:val="5BB83D2C"/>
    <w:rsid w:val="60F60E2D"/>
    <w:rsid w:val="61EF118E"/>
    <w:rsid w:val="65754FED"/>
    <w:rsid w:val="66A43168"/>
    <w:rsid w:val="67412A0B"/>
    <w:rsid w:val="69440401"/>
    <w:rsid w:val="6BC604C0"/>
    <w:rsid w:val="6C985B10"/>
    <w:rsid w:val="6F085F6C"/>
    <w:rsid w:val="6FA40D24"/>
    <w:rsid w:val="745A256D"/>
    <w:rsid w:val="74EB625C"/>
    <w:rsid w:val="76786537"/>
    <w:rsid w:val="76FC64FF"/>
    <w:rsid w:val="791A4728"/>
    <w:rsid w:val="79C37870"/>
    <w:rsid w:val="7DB65260"/>
    <w:rsid w:val="7DEC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2"/>
    <w:semiHidden/>
    <w:unhideWhenUsed/>
    <w:qFormat/>
    <w:uiPriority w:val="99"/>
    <w:rPr>
      <w:rFonts w:ascii="宋体" w:eastAsia="宋体"/>
      <w:sz w:val="18"/>
      <w:szCs w:val="18"/>
    </w:rPr>
  </w:style>
  <w:style w:type="paragraph" w:styleId="8">
    <w:name w:val="annotation text"/>
    <w:basedOn w:val="1"/>
    <w:link w:val="25"/>
    <w:semiHidden/>
    <w:unhideWhenUsed/>
    <w:qFormat/>
    <w:uiPriority w:val="99"/>
    <w:pPr>
      <w:jc w:val="left"/>
    </w:pPr>
  </w:style>
  <w:style w:type="paragraph" w:styleId="9">
    <w:name w:val="Body Text"/>
    <w:basedOn w:val="1"/>
    <w:link w:val="36"/>
    <w:semiHidden/>
    <w:unhideWhenUsed/>
    <w:qFormat/>
    <w:uiPriority w:val="99"/>
    <w:pPr>
      <w:spacing w:after="120"/>
    </w:pPr>
  </w:style>
  <w:style w:type="paragraph" w:styleId="10">
    <w:name w:val="Body Text Indent"/>
    <w:basedOn w:val="1"/>
    <w:link w:val="35"/>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26"/>
    <w:qFormat/>
    <w:uiPriority w:val="99"/>
    <w:pPr>
      <w:autoSpaceDE w:val="0"/>
      <w:autoSpaceDN w:val="0"/>
      <w:adjustRightInd w:val="0"/>
    </w:pPr>
    <w:rPr>
      <w:rFonts w:hint="eastAsia" w:hAnsi="Tms Rmn"/>
    </w:rPr>
  </w:style>
  <w:style w:type="paragraph" w:styleId="12">
    <w:name w:val="Date"/>
    <w:basedOn w:val="1"/>
    <w:next w:val="1"/>
    <w:link w:val="40"/>
    <w:semiHidden/>
    <w:unhideWhenUsed/>
    <w:qFormat/>
    <w:uiPriority w:val="99"/>
    <w:pPr>
      <w:ind w:left="100" w:leftChars="2500"/>
    </w:pPr>
  </w:style>
  <w:style w:type="paragraph" w:styleId="13">
    <w:name w:val="Balloon Text"/>
    <w:basedOn w:val="1"/>
    <w:link w:val="27"/>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link w:val="42"/>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0"/>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unhideWhenUsed/>
    <w:qFormat/>
    <w:uiPriority w:val="0"/>
    <w:rPr>
      <w:sz w:val="21"/>
      <w:szCs w:val="21"/>
    </w:rPr>
  </w:style>
  <w:style w:type="character" w:customStyle="1" w:styleId="25">
    <w:name w:val="批注文字 字符"/>
    <w:basedOn w:val="22"/>
    <w:link w:val="8"/>
    <w:semiHidden/>
    <w:qFormat/>
    <w:uiPriority w:val="99"/>
  </w:style>
  <w:style w:type="character" w:customStyle="1" w:styleId="26">
    <w:name w:val="纯文本 字符"/>
    <w:basedOn w:val="22"/>
    <w:link w:val="11"/>
    <w:qFormat/>
    <w:uiPriority w:val="99"/>
    <w:rPr>
      <w:rFonts w:hAnsi="Tms Rmn"/>
      <w:kern w:val="2"/>
      <w:sz w:val="21"/>
      <w:szCs w:val="22"/>
    </w:rPr>
  </w:style>
  <w:style w:type="character" w:customStyle="1" w:styleId="27">
    <w:name w:val="批注框文本 字符"/>
    <w:basedOn w:val="22"/>
    <w:link w:val="13"/>
    <w:semiHidden/>
    <w:qFormat/>
    <w:uiPriority w:val="99"/>
    <w:rPr>
      <w:sz w:val="18"/>
      <w:szCs w:val="18"/>
    </w:rPr>
  </w:style>
  <w:style w:type="character" w:customStyle="1" w:styleId="28">
    <w:name w:val="页脚 字符"/>
    <w:basedOn w:val="22"/>
    <w:link w:val="14"/>
    <w:qFormat/>
    <w:uiPriority w:val="99"/>
    <w:rPr>
      <w:sz w:val="18"/>
      <w:szCs w:val="18"/>
    </w:rPr>
  </w:style>
  <w:style w:type="character" w:customStyle="1" w:styleId="29">
    <w:name w:val="页眉 字符"/>
    <w:basedOn w:val="22"/>
    <w:link w:val="15"/>
    <w:qFormat/>
    <w:uiPriority w:val="99"/>
    <w:rPr>
      <w:sz w:val="18"/>
      <w:szCs w:val="18"/>
    </w:rPr>
  </w:style>
  <w:style w:type="character" w:customStyle="1" w:styleId="30">
    <w:name w:val="批注主题 字符"/>
    <w:basedOn w:val="25"/>
    <w:link w:val="19"/>
    <w:semiHidden/>
    <w:qFormat/>
    <w:uiPriority w:val="99"/>
    <w:rPr>
      <w:b/>
      <w:bCs/>
    </w:rPr>
  </w:style>
  <w:style w:type="paragraph" w:styleId="31">
    <w:name w:val="List Paragraph"/>
    <w:basedOn w:val="1"/>
    <w:qFormat/>
    <w:uiPriority w:val="34"/>
    <w:pPr>
      <w:ind w:firstLine="420" w:firstLineChars="200"/>
    </w:pPr>
  </w:style>
  <w:style w:type="character" w:customStyle="1" w:styleId="32">
    <w:name w:val="文档结构图 字符"/>
    <w:basedOn w:val="22"/>
    <w:link w:val="7"/>
    <w:semiHidden/>
    <w:qFormat/>
    <w:uiPriority w:val="99"/>
    <w:rPr>
      <w:rFonts w:ascii="宋体" w:eastAsia="宋体"/>
      <w:kern w:val="2"/>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标题 2 字符"/>
    <w:basedOn w:val="22"/>
    <w:link w:val="3"/>
    <w:qFormat/>
    <w:uiPriority w:val="0"/>
    <w:rPr>
      <w:rFonts w:hAnsi="宋体" w:cs="Arial"/>
      <w:b/>
      <w:bCs/>
      <w:iCs/>
      <w:kern w:val="2"/>
      <w:sz w:val="28"/>
      <w:szCs w:val="28"/>
    </w:rPr>
  </w:style>
  <w:style w:type="character" w:customStyle="1" w:styleId="35">
    <w:name w:val="正文文本缩进 字符"/>
    <w:basedOn w:val="22"/>
    <w:link w:val="10"/>
    <w:qFormat/>
    <w:uiPriority w:val="0"/>
    <w:rPr>
      <w:kern w:val="2"/>
      <w:sz w:val="30"/>
      <w:szCs w:val="24"/>
    </w:rPr>
  </w:style>
  <w:style w:type="character" w:customStyle="1" w:styleId="36">
    <w:name w:val="正文文本 字符"/>
    <w:basedOn w:val="22"/>
    <w:link w:val="9"/>
    <w:semiHidden/>
    <w:qFormat/>
    <w:uiPriority w:val="99"/>
    <w:rPr>
      <w:rFonts w:asciiTheme="minorHAnsi" w:hAnsiTheme="minorHAnsi" w:eastAsiaTheme="minorEastAsia" w:cstheme="minorBidi"/>
      <w:kern w:val="2"/>
      <w:sz w:val="21"/>
      <w:szCs w:val="22"/>
    </w:rPr>
  </w:style>
  <w:style w:type="character" w:customStyle="1" w:styleId="37">
    <w:name w:val="标题 1 字符"/>
    <w:basedOn w:val="22"/>
    <w:link w:val="2"/>
    <w:qFormat/>
    <w:uiPriority w:val="9"/>
    <w:rPr>
      <w:rFonts w:asciiTheme="minorHAnsi" w:hAnsiTheme="minorHAnsi" w:eastAsiaTheme="minorEastAsia" w:cstheme="minorBidi"/>
      <w:b/>
      <w:bCs/>
      <w:kern w:val="44"/>
      <w:sz w:val="44"/>
      <w:szCs w:val="44"/>
    </w:rPr>
  </w:style>
  <w:style w:type="character" w:customStyle="1" w:styleId="38">
    <w:name w:val="标题 3 字符"/>
    <w:basedOn w:val="22"/>
    <w:link w:val="4"/>
    <w:qFormat/>
    <w:uiPriority w:val="9"/>
    <w:rPr>
      <w:rFonts w:asciiTheme="minorHAnsi" w:hAnsiTheme="minorHAnsi" w:eastAsiaTheme="minorEastAsia" w:cstheme="minorBidi"/>
      <w:b/>
      <w:bCs/>
      <w:kern w:val="2"/>
      <w:sz w:val="32"/>
      <w:szCs w:val="32"/>
    </w:rPr>
  </w:style>
  <w:style w:type="character" w:customStyle="1" w:styleId="39">
    <w:name w:val="标题 5 字符"/>
    <w:basedOn w:val="22"/>
    <w:link w:val="6"/>
    <w:semiHidden/>
    <w:qFormat/>
    <w:uiPriority w:val="9"/>
    <w:rPr>
      <w:rFonts w:asciiTheme="minorHAnsi" w:hAnsiTheme="minorHAnsi" w:eastAsiaTheme="minorEastAsia" w:cstheme="minorBidi"/>
      <w:b/>
      <w:bCs/>
      <w:kern w:val="2"/>
      <w:sz w:val="28"/>
      <w:szCs w:val="28"/>
    </w:rPr>
  </w:style>
  <w:style w:type="character" w:customStyle="1" w:styleId="40">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字符"/>
    <w:basedOn w:val="22"/>
    <w:link w:val="18"/>
    <w:qFormat/>
    <w:uiPriority w:val="10"/>
    <w:rPr>
      <w:rFonts w:asciiTheme="majorHAnsi" w:hAnsiTheme="majorHAnsi" w:cstheme="majorBidi"/>
      <w:b/>
      <w:bCs/>
      <w:kern w:val="2"/>
      <w:sz w:val="32"/>
      <w:szCs w:val="32"/>
    </w:rPr>
  </w:style>
  <w:style w:type="character" w:customStyle="1" w:styleId="43">
    <w:name w:val="标题 4 字符"/>
    <w:basedOn w:val="22"/>
    <w:link w:val="5"/>
    <w:qFormat/>
    <w:uiPriority w:val="9"/>
    <w:rPr>
      <w:rFonts w:asciiTheme="majorHAnsi" w:hAnsiTheme="majorHAnsi" w:eastAsiaTheme="majorEastAsia" w:cstheme="majorBidi"/>
      <w:b/>
      <w:bCs/>
      <w:kern w:val="2"/>
      <w:sz w:val="28"/>
      <w:szCs w:val="28"/>
    </w:rPr>
  </w:style>
  <w:style w:type="paragraph" w:customStyle="1" w:styleId="44">
    <w:name w:val="列出段落2"/>
    <w:basedOn w:val="1"/>
    <w:qFormat/>
    <w:uiPriority w:val="99"/>
    <w:pPr>
      <w:ind w:firstLine="420" w:firstLineChars="200"/>
    </w:pPr>
  </w:style>
  <w:style w:type="paragraph" w:customStyle="1" w:styleId="45">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3.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5.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6.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Props1.xml><?xml version="1.0" encoding="utf-8"?>
<ds:datastoreItem xmlns:ds="http://schemas.openxmlformats.org/officeDocument/2006/customXml" ds:itemID="{B86E83BB-9477-46F9-8716-7461325FDE14}">
  <ds:schemaRefs/>
</ds:datastoreItem>
</file>

<file path=customXml/itemProps2.xml><?xml version="1.0" encoding="utf-8"?>
<ds:datastoreItem xmlns:ds="http://schemas.openxmlformats.org/officeDocument/2006/customXml" ds:itemID="{0D29DEB7-0AB0-43CE-9891-F7E7FF651146}">
  <ds:schemaRefs/>
</ds:datastoreItem>
</file>

<file path=customXml/itemProps3.xml><?xml version="1.0" encoding="utf-8"?>
<ds:datastoreItem xmlns:ds="http://schemas.openxmlformats.org/officeDocument/2006/customXml" ds:itemID="{9A171ECC-DCE4-4329-8E23-829DC1EC9571}">
  <ds:schemaRefs/>
</ds:datastoreItem>
</file>

<file path=customXml/itemProps4.xml><?xml version="1.0" encoding="utf-8"?>
<ds:datastoreItem xmlns:ds="http://schemas.openxmlformats.org/officeDocument/2006/customXml" ds:itemID="{40B5D416-2B2A-41C8-86BF-C2EAF1BC8D57}">
  <ds:schemaRefs/>
</ds:datastoreItem>
</file>

<file path=customXml/itemProps5.xml><?xml version="1.0" encoding="utf-8"?>
<ds:datastoreItem xmlns:ds="http://schemas.openxmlformats.org/officeDocument/2006/customXml" ds:itemID="{66A9DA44-677C-4C79-8769-DC1F1F71ED17}">
  <ds:schemaRefs/>
</ds:datastoreItem>
</file>

<file path=customXml/itemProps6.xml><?xml version="1.0" encoding="utf-8"?>
<ds:datastoreItem xmlns:ds="http://schemas.openxmlformats.org/officeDocument/2006/customXml" ds:itemID="{DFA7DC2B-A850-4E12-9B4E-B1F7082CCF40}">
  <ds:schemaRefs/>
</ds:datastoreItem>
</file>

<file path=docProps/app.xml><?xml version="1.0" encoding="utf-8"?>
<Properties xmlns="http://schemas.openxmlformats.org/officeDocument/2006/extended-properties" xmlns:vt="http://schemas.openxmlformats.org/officeDocument/2006/docPropsVTypes">
  <Template>Normal</Template>
  <Company>懒人工作室</Company>
  <Pages>23</Pages>
  <Words>1198</Words>
  <Characters>6830</Characters>
  <Lines>56</Lines>
  <Paragraphs>16</Paragraphs>
  <TotalTime>14</TotalTime>
  <ScaleCrop>false</ScaleCrop>
  <LinksUpToDate>false</LinksUpToDate>
  <CharactersWithSpaces>8012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2021-04-06T08:11:00Z</dcterms:created>
  <dc:creator>文星</dc:creator>
  <cp:lastModifiedBy>Lenovo</cp:lastModifiedBy>
  <dcterms:modified xsi:type="dcterms:W3CDTF">2022-11-08T08:19:27Z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CDA91259A28C48048DA1C7818208CE4D</vt:lpwstr>
  </property>
</Properties>
</file>