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30D08">
      <w:pPr>
        <w:pStyle w:val="4"/>
        <w:rPr>
          <w:rFonts w:ascii="华文中宋" w:hAnsi="华文中宋" w:eastAsia="华文中宋" w:cs="Cambria"/>
          <w:bCs w:val="0"/>
          <w:color w:val="auto"/>
        </w:rPr>
      </w:pPr>
      <w:r>
        <w:rPr>
          <w:rFonts w:ascii="华文中宋" w:hAnsi="华文中宋" w:eastAsia="华文中宋" w:cs="宋体"/>
          <w:bCs w:val="0"/>
          <w:color w:val="auto"/>
        </w:rPr>
        <w:t>比选申请人须知</w:t>
      </w:r>
    </w:p>
    <w:p w14:paraId="52E5ED57">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1、比选文件</w:t>
      </w:r>
    </w:p>
    <w:p w14:paraId="78CD9A72">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比选申请人应仔细阅读本比选文件，按比选文件的规定和本比选文件第二章要求的格式编写比选申请书。</w:t>
      </w:r>
    </w:p>
    <w:p w14:paraId="56B9450E">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2、比选报价</w:t>
      </w:r>
      <w:r>
        <w:rPr>
          <w:rFonts w:hint="eastAsia" w:ascii="华文中宋" w:hAnsi="华文中宋" w:eastAsia="华文中宋" w:cs="宋体"/>
          <w:bCs w:val="0"/>
          <w:color w:val="auto"/>
          <w:sz w:val="24"/>
          <w:szCs w:val="24"/>
        </w:rPr>
        <w:t>（实质性要求）</w:t>
      </w:r>
    </w:p>
    <w:p w14:paraId="2B6D83FE">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2.1所有报价一律以人民币报价。比选人不接受任何非人民币币种的报价。</w:t>
      </w:r>
    </w:p>
    <w:p w14:paraId="0145F042">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2.2比选申请人的报价是其响应本项目要求的全部工作内容的价格体现，包括比选申请人完成本项目所需的一切费用。其中项目执行过程中产生的差旅费均包含在本次报价中。</w:t>
      </w:r>
    </w:p>
    <w:p w14:paraId="6D8DCE81">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3、比选申请书</w:t>
      </w:r>
    </w:p>
    <w:p w14:paraId="153220DE">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3.1 比选申请书的编制</w:t>
      </w:r>
    </w:p>
    <w:p w14:paraId="1494056D">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3.1.1 比选申请书的格式</w:t>
      </w:r>
    </w:p>
    <w:p w14:paraId="6BF72A2A">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比选申请书应按第二章“比选申请书格式”进行编写，至少包括“比选申请书格式”的各项内容。本比选文件要求提供的证明文件，比选申请人必须提供；本比选文件没有要求提供的证明文件，比选申请人认为需要提供的，也可以提供。</w:t>
      </w:r>
    </w:p>
    <w:p w14:paraId="46F4443B">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3.1.2 比选申请书应全部用不褪色的墨水（粉）书写或打印，不得有任何涂改。比选申请书副本应由正本复制而成（包括证明文件）。</w:t>
      </w:r>
    </w:p>
    <w:p w14:paraId="5AA9A2B3">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3.1.3 比选申请书必须用中文书写，包括正本一份、副本一份。正本和副本的封面上应清楚的标记“正本”和“副本”的字样。正副本内容应完全一致，如不一致时，以正本为准。</w:t>
      </w:r>
    </w:p>
    <w:p w14:paraId="0CC73C51">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3.2 比选申请书的签署</w:t>
      </w:r>
    </w:p>
    <w:p w14:paraId="39A7781B">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3.2.1比选申请人应在比选申请书封面加盖单位公章。</w:t>
      </w:r>
    </w:p>
    <w:p w14:paraId="05DE7F1A">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3.2.2 比选申请书的密封与标识</w:t>
      </w:r>
    </w:p>
    <w:p w14:paraId="0C9E20BF">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比选申请书的正本与副本应一起包装，比选申请书的外包装应保证其密封性。封套上应清楚地载明比选申请人的名称、项目名称。</w:t>
      </w:r>
    </w:p>
    <w:p w14:paraId="2677F8AE">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3.2.3 未按以上要求密封和加写标记的比选申请书将不予受理。</w:t>
      </w:r>
    </w:p>
    <w:p w14:paraId="26D61948">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3.3比选申请书的递交</w:t>
      </w:r>
    </w:p>
    <w:p w14:paraId="313D6FE2">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比选申请书应该在比选邀请中规定的比选申请书提交截止时间前提交。迟到的比选申请书比选人将拒绝接收。</w:t>
      </w:r>
    </w:p>
    <w:p w14:paraId="357D0C1D">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4</w:t>
      </w:r>
      <w:r>
        <w:rPr>
          <w:rFonts w:hint="eastAsia" w:ascii="华文中宋" w:hAnsi="华文中宋" w:eastAsia="华文中宋" w:cs="宋体"/>
          <w:bCs w:val="0"/>
          <w:color w:val="auto"/>
          <w:sz w:val="24"/>
          <w:szCs w:val="24"/>
        </w:rPr>
        <w:t>、比选响应有效期（实质性要求）</w:t>
      </w:r>
    </w:p>
    <w:p w14:paraId="77187EA6">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4</w:t>
      </w:r>
      <w:r>
        <w:rPr>
          <w:rFonts w:hint="eastAsia" w:ascii="宋体" w:hAnsi="宋体" w:eastAsia="宋体" w:cs="宋体"/>
          <w:color w:val="auto"/>
          <w:sz w:val="24"/>
        </w:rPr>
        <w:t>.1比选响应有效期为9</w:t>
      </w:r>
      <w:r>
        <w:rPr>
          <w:rFonts w:ascii="宋体" w:hAnsi="宋体" w:eastAsia="宋体" w:cs="宋体"/>
          <w:color w:val="auto"/>
          <w:sz w:val="24"/>
        </w:rPr>
        <w:t>0</w:t>
      </w:r>
      <w:r>
        <w:rPr>
          <w:rFonts w:hint="eastAsia" w:ascii="宋体" w:hAnsi="宋体" w:eastAsia="宋体" w:cs="宋体"/>
          <w:color w:val="auto"/>
          <w:sz w:val="24"/>
        </w:rPr>
        <w:t>天。</w:t>
      </w:r>
    </w:p>
    <w:p w14:paraId="3E8F110D">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4</w:t>
      </w:r>
      <w:r>
        <w:rPr>
          <w:rFonts w:hint="eastAsia" w:ascii="宋体" w:hAnsi="宋体" w:eastAsia="宋体" w:cs="宋体"/>
          <w:color w:val="auto"/>
          <w:sz w:val="24"/>
        </w:rPr>
        <w:t>.2 特殊情况下，比选人可于比选响应有效期满之前要求申请人同意延长有效期，要求与答复均应为书面形式。拒绝延长比选响应有效期的申请人不得再参与该项目后续比选活动。同意延长比选响应有效期的申请人不能修改其比选申请文件，关于保证金的有关规定在延长的比选响应有效期内继续有效。</w:t>
      </w:r>
    </w:p>
    <w:p w14:paraId="0FDC3F05">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4</w:t>
      </w:r>
      <w:r>
        <w:rPr>
          <w:rFonts w:hint="eastAsia" w:ascii="宋体" w:hAnsi="宋体" w:eastAsia="宋体" w:cs="宋体"/>
          <w:color w:val="auto"/>
          <w:sz w:val="24"/>
        </w:rPr>
        <w:t>.3 在比选响应有效期内，比选申请人将依法接受其比选申请文件的约束。</w:t>
      </w:r>
    </w:p>
    <w:p w14:paraId="251F323C">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5、评审</w:t>
      </w:r>
    </w:p>
    <w:p w14:paraId="1FB9AB78">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5</w:t>
      </w:r>
      <w:r>
        <w:rPr>
          <w:rFonts w:ascii="宋体" w:hAnsi="宋体" w:eastAsia="宋体" w:cs="宋体"/>
          <w:color w:val="auto"/>
          <w:sz w:val="24"/>
        </w:rPr>
        <w:t>.1 评审委员会</w:t>
      </w:r>
    </w:p>
    <w:p w14:paraId="383310ED">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评审工作由比选人组建的评审委员会负责，评审委员会成员人数为3人（含3人）以上单数。</w:t>
      </w:r>
    </w:p>
    <w:p w14:paraId="5DF99918">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5</w:t>
      </w:r>
      <w:r>
        <w:rPr>
          <w:rFonts w:ascii="宋体" w:hAnsi="宋体" w:eastAsia="宋体" w:cs="宋体"/>
          <w:color w:val="auto"/>
          <w:sz w:val="24"/>
        </w:rPr>
        <w:t>.2 比选活动在比选文件约定的地方进行。</w:t>
      </w:r>
    </w:p>
    <w:p w14:paraId="1BC4138D">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5</w:t>
      </w:r>
      <w:r>
        <w:rPr>
          <w:rFonts w:ascii="宋体" w:hAnsi="宋体" w:eastAsia="宋体" w:cs="宋体"/>
          <w:color w:val="auto"/>
          <w:sz w:val="24"/>
        </w:rPr>
        <w:t>.3 比选程序</w:t>
      </w:r>
    </w:p>
    <w:p w14:paraId="65BF6481">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比选人在监督人员监督的情况下，在比选文件规定地点、时间当场开封所有比选申请书，按照以下程序进行：</w:t>
      </w:r>
    </w:p>
    <w:p w14:paraId="2108E161">
      <w:pPr>
        <w:spacing w:before="80" w:after="80" w:line="360" w:lineRule="auto"/>
        <w:ind w:firstLine="480" w:firstLineChars="200"/>
        <w:rPr>
          <w:rFonts w:ascii="Times New Roman" w:hAnsi="Times New Roman" w:eastAsia="Times New Roman" w:cs="Times New Roman"/>
          <w:color w:val="auto"/>
          <w:sz w:val="24"/>
        </w:rPr>
      </w:pPr>
      <w:r>
        <w:rPr>
          <w:rFonts w:hint="eastAsia" w:ascii="宋体" w:hAnsi="宋体" w:eastAsia="宋体" w:cs="宋体"/>
          <w:color w:val="auto"/>
          <w:sz w:val="24"/>
          <w:lang w:val="en-US" w:eastAsia="zh-CN"/>
        </w:rPr>
        <w:t>5</w:t>
      </w:r>
      <w:r>
        <w:rPr>
          <w:rFonts w:ascii="宋体" w:hAnsi="宋体" w:eastAsia="宋体" w:cs="宋体"/>
          <w:color w:val="auto"/>
          <w:sz w:val="24"/>
        </w:rPr>
        <w:t>.3.1 对比选申请文件进行审查，剔除无效申请文件；</w:t>
      </w:r>
    </w:p>
    <w:p w14:paraId="4394C4DD">
      <w:pPr>
        <w:spacing w:before="80" w:after="80" w:line="360" w:lineRule="auto"/>
        <w:ind w:firstLine="480" w:firstLineChars="200"/>
        <w:rPr>
          <w:rFonts w:ascii="Times New Roman" w:hAnsi="Times New Roman" w:eastAsia="Times New Roman" w:cs="Times New Roman"/>
          <w:b/>
          <w:color w:val="auto"/>
          <w:sz w:val="24"/>
        </w:rPr>
      </w:pPr>
      <w:r>
        <w:rPr>
          <w:rFonts w:ascii="宋体" w:hAnsi="宋体" w:eastAsia="宋体" w:cs="宋体"/>
          <w:b/>
          <w:color w:val="auto"/>
          <w:sz w:val="24"/>
        </w:rPr>
        <w:t>有下列情况之一的视为无效比选申请文件，除此之外，评审委员会不得再以不符合比选文件中规定的其他实质性要求来判定无效申请文件：</w:t>
      </w:r>
    </w:p>
    <w:p w14:paraId="31F9428B">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a</w:t>
      </w:r>
      <w:r>
        <w:rPr>
          <w:rFonts w:ascii="宋体" w:hAnsi="宋体" w:eastAsia="宋体" w:cs="宋体"/>
          <w:color w:val="auto"/>
          <w:sz w:val="24"/>
        </w:rPr>
        <w:t>未按比选文件规定盖章或签字的；</w:t>
      </w:r>
    </w:p>
    <w:p w14:paraId="2DFEE302">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b</w:t>
      </w:r>
      <w:r>
        <w:rPr>
          <w:rFonts w:ascii="宋体" w:hAnsi="宋体" w:eastAsia="宋体" w:cs="宋体"/>
          <w:color w:val="auto"/>
          <w:sz w:val="24"/>
        </w:rPr>
        <w:t>比选申请文件中的报价高于本项目预算或最高限价</w:t>
      </w:r>
      <w:r>
        <w:rPr>
          <w:rFonts w:hint="eastAsia" w:ascii="宋体" w:hAnsi="宋体" w:eastAsia="宋体" w:cs="宋体"/>
          <w:color w:val="auto"/>
          <w:sz w:val="24"/>
        </w:rPr>
        <w:t>或未按比选文件规定进行报价的</w:t>
      </w:r>
      <w:r>
        <w:rPr>
          <w:rFonts w:ascii="宋体" w:hAnsi="宋体" w:eastAsia="宋体" w:cs="宋体"/>
          <w:color w:val="auto"/>
          <w:sz w:val="24"/>
        </w:rPr>
        <w:t>；</w:t>
      </w:r>
    </w:p>
    <w:p w14:paraId="1D9F4CA5">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c</w:t>
      </w:r>
      <w:r>
        <w:rPr>
          <w:rFonts w:ascii="宋体" w:hAnsi="宋体" w:eastAsia="宋体" w:cs="宋体"/>
          <w:color w:val="auto"/>
          <w:sz w:val="24"/>
        </w:rPr>
        <w:t>比选申请文件不满足本项目实质性要求的</w:t>
      </w:r>
      <w:r>
        <w:rPr>
          <w:rFonts w:hint="eastAsia" w:ascii="宋体" w:hAnsi="宋体" w:eastAsia="宋体" w:cs="宋体"/>
          <w:color w:val="auto"/>
          <w:sz w:val="24"/>
        </w:rPr>
        <w:t>。</w:t>
      </w:r>
    </w:p>
    <w:p w14:paraId="2C9652A5">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5</w:t>
      </w:r>
      <w:r>
        <w:rPr>
          <w:rFonts w:ascii="宋体" w:hAnsi="宋体" w:eastAsia="宋体" w:cs="宋体"/>
          <w:color w:val="auto"/>
          <w:sz w:val="24"/>
        </w:rPr>
        <w:t>.3.2重新组织</w:t>
      </w:r>
    </w:p>
    <w:p w14:paraId="42750E1C">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本次比选活动中，出现下列情形之一的，予以重新组织：</w:t>
      </w:r>
    </w:p>
    <w:p w14:paraId="398B9646">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（1）比选申请人少于3家的；</w:t>
      </w:r>
    </w:p>
    <w:p w14:paraId="2C4DCDF4">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（2）出现影响比选公正的违法、违规行为的；</w:t>
      </w:r>
    </w:p>
    <w:p w14:paraId="562F7933">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5</w:t>
      </w:r>
      <w:r>
        <w:rPr>
          <w:rFonts w:ascii="宋体" w:hAnsi="宋体" w:eastAsia="宋体" w:cs="宋体"/>
          <w:color w:val="auto"/>
          <w:sz w:val="24"/>
        </w:rPr>
        <w:t>.4 评审委员会有权对比选申请书提出澄清，比选</w:t>
      </w:r>
      <w:r>
        <w:rPr>
          <w:rFonts w:hint="eastAsia" w:ascii="宋体" w:hAnsi="宋体" w:eastAsia="宋体" w:cs="宋体"/>
          <w:color w:val="auto"/>
          <w:sz w:val="24"/>
        </w:rPr>
        <w:t>申请人</w:t>
      </w:r>
      <w:r>
        <w:rPr>
          <w:rFonts w:ascii="宋体" w:hAnsi="宋体" w:eastAsia="宋体" w:cs="宋体"/>
          <w:color w:val="auto"/>
          <w:sz w:val="24"/>
        </w:rPr>
        <w:t>应予以配合，若不予以配合的，比选申请书无效。</w:t>
      </w:r>
    </w:p>
    <w:p w14:paraId="48347772">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6</w:t>
      </w:r>
      <w:r>
        <w:rPr>
          <w:rFonts w:hint="eastAsia" w:ascii="华文中宋" w:hAnsi="华文中宋" w:eastAsia="华文中宋" w:cs="宋体"/>
          <w:bCs w:val="0"/>
          <w:color w:val="auto"/>
          <w:sz w:val="24"/>
          <w:szCs w:val="24"/>
        </w:rPr>
        <w:t>、中选通知书发放</w:t>
      </w:r>
    </w:p>
    <w:p w14:paraId="6FBC2EA9">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比选人将在结果公告发布后通知中选的比选申请人领取中选通知书。</w:t>
      </w:r>
    </w:p>
    <w:p w14:paraId="7A95EC5B">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7、合同签订</w:t>
      </w:r>
      <w:r>
        <w:rPr>
          <w:rFonts w:hint="eastAsia" w:ascii="华文中宋" w:hAnsi="华文中宋" w:eastAsia="华文中宋" w:cs="宋体"/>
          <w:bCs w:val="0"/>
          <w:color w:val="auto"/>
          <w:sz w:val="24"/>
          <w:szCs w:val="24"/>
        </w:rPr>
        <w:t>（实质性要求）</w:t>
      </w:r>
    </w:p>
    <w:p w14:paraId="35690E89">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7.1 中选通知书发出之日起30</w:t>
      </w:r>
      <w:r>
        <w:rPr>
          <w:rFonts w:hint="eastAsia" w:ascii="宋体" w:hAnsi="宋体" w:eastAsia="宋体" w:cs="宋体"/>
          <w:color w:val="auto"/>
          <w:sz w:val="24"/>
        </w:rPr>
        <w:t>日</w:t>
      </w:r>
      <w:r>
        <w:rPr>
          <w:rFonts w:ascii="宋体" w:hAnsi="宋体" w:eastAsia="宋体" w:cs="宋体"/>
          <w:color w:val="auto"/>
          <w:sz w:val="24"/>
        </w:rPr>
        <w:t>内</w:t>
      </w:r>
      <w:r>
        <w:rPr>
          <w:rFonts w:hint="eastAsia" w:ascii="宋体" w:hAnsi="宋体" w:eastAsia="宋体" w:cs="宋体"/>
          <w:color w:val="auto"/>
          <w:sz w:val="24"/>
        </w:rPr>
        <w:t>，比选人</w:t>
      </w:r>
      <w:r>
        <w:rPr>
          <w:rFonts w:ascii="宋体" w:hAnsi="宋体" w:eastAsia="宋体" w:cs="宋体"/>
          <w:color w:val="auto"/>
          <w:sz w:val="24"/>
        </w:rPr>
        <w:t>与中选人订立书面合同。</w:t>
      </w:r>
    </w:p>
    <w:p w14:paraId="4812F579">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 xml:space="preserve">7.2 </w:t>
      </w:r>
      <w:r>
        <w:rPr>
          <w:rFonts w:hint="eastAsia" w:ascii="宋体" w:hAnsi="宋体" w:eastAsia="宋体" w:cs="宋体"/>
          <w:color w:val="auto"/>
          <w:sz w:val="24"/>
        </w:rPr>
        <w:t>中选人与比选人签订合同后，合同双方应严格执行合同条款，履行合同规定的义务，保证合同的顺利完成。</w:t>
      </w:r>
    </w:p>
    <w:p w14:paraId="77B4086A">
      <w:pPr>
        <w:spacing w:line="360" w:lineRule="auto"/>
        <w:ind w:firstLine="480"/>
        <w:jc w:val="left"/>
        <w:rPr>
          <w:rFonts w:ascii="Times New Roman" w:hAnsi="Times New Roman" w:eastAsia="Times New Roman" w:cs="Times New Roman"/>
          <w:b/>
          <w:color w:val="auto"/>
          <w:sz w:val="24"/>
        </w:rPr>
      </w:pPr>
    </w:p>
    <w:p w14:paraId="25A74005">
      <w:pPr>
        <w:keepNext/>
        <w:keepLines/>
        <w:spacing w:line="360" w:lineRule="auto"/>
        <w:jc w:val="center"/>
        <w:rPr>
          <w:rFonts w:ascii="宋体" w:hAnsi="宋体" w:eastAsia="宋体" w:cs="宋体"/>
          <w:b/>
          <w:color w:val="auto"/>
          <w:sz w:val="44"/>
        </w:rPr>
      </w:pPr>
    </w:p>
    <w:p w14:paraId="655620EC">
      <w:pPr>
        <w:widowControl/>
        <w:jc w:val="left"/>
        <w:rPr>
          <w:rFonts w:ascii="宋体" w:hAnsi="宋体" w:eastAsia="宋体" w:cs="宋体"/>
          <w:b/>
          <w:color w:val="auto"/>
          <w:sz w:val="44"/>
        </w:rPr>
      </w:pPr>
      <w:r>
        <w:rPr>
          <w:rFonts w:ascii="宋体" w:hAnsi="宋体" w:eastAsia="宋体" w:cs="宋体"/>
          <w:b/>
          <w:color w:val="auto"/>
          <w:sz w:val="44"/>
        </w:rPr>
        <w:br w:type="page"/>
      </w:r>
    </w:p>
    <w:p w14:paraId="0A430460">
      <w:pPr>
        <w:pStyle w:val="3"/>
        <w:jc w:val="center"/>
        <w:rPr>
          <w:rFonts w:ascii="华文中宋" w:hAnsi="华文中宋" w:eastAsia="华文中宋" w:cs="宋体"/>
          <w:b w:val="0"/>
          <w:color w:val="auto"/>
        </w:rPr>
      </w:pPr>
      <w:bookmarkStart w:id="0" w:name="_Toc66971933"/>
      <w:bookmarkStart w:id="1" w:name="_Toc68619133"/>
      <w:r>
        <w:rPr>
          <w:rFonts w:ascii="华文中宋" w:hAnsi="华文中宋" w:eastAsia="华文中宋" w:cs="宋体"/>
          <w:b w:val="0"/>
          <w:color w:val="auto"/>
        </w:rPr>
        <w:t>第二章</w:t>
      </w:r>
      <w:r>
        <w:rPr>
          <w:rFonts w:hint="eastAsia" w:ascii="华文中宋" w:hAnsi="华文中宋" w:eastAsia="华文中宋" w:cs="宋体"/>
          <w:b w:val="0"/>
          <w:color w:val="auto"/>
        </w:rPr>
        <w:t xml:space="preserve"> </w:t>
      </w:r>
      <w:r>
        <w:rPr>
          <w:rFonts w:ascii="华文中宋" w:hAnsi="华文中宋" w:eastAsia="华文中宋" w:cs="宋体"/>
          <w:b w:val="0"/>
          <w:color w:val="auto"/>
        </w:rPr>
        <w:t>比选申请书</w:t>
      </w:r>
      <w:bookmarkEnd w:id="0"/>
      <w:bookmarkEnd w:id="1"/>
    </w:p>
    <w:p w14:paraId="138041BC">
      <w:pPr>
        <w:spacing w:line="360" w:lineRule="auto"/>
        <w:jc w:val="center"/>
        <w:rPr>
          <w:rFonts w:ascii="Times New Roman" w:hAnsi="Times New Roman" w:eastAsia="Times New Roman" w:cs="Times New Roman"/>
          <w:color w:val="auto"/>
          <w:sz w:val="24"/>
        </w:rPr>
      </w:pPr>
    </w:p>
    <w:p w14:paraId="62A6F276">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1、比选申请人在编制比选申请书时应使用本章所附格式并符合有关要求；本章未规定格式的，由比选申请人根据实际情况自主编制。</w:t>
      </w:r>
    </w:p>
    <w:p w14:paraId="46DEF128">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2、比选申请书应在比选申请书封面和《法定代表人授权书》中的“比选申请人”一栏填上比选申请人的全称并在名称上加盖比选申请人单位章。</w:t>
      </w:r>
    </w:p>
    <w:p w14:paraId="4F680695">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3、比选申请书中的表格或空格如填写不下，可编辑扩充或另附页。除形式外，比选申请人不得改变其内容要求。本章所附格式，比选申请人为编制比选申请书可以复印或编辑。</w:t>
      </w:r>
    </w:p>
    <w:p w14:paraId="7E269E6B">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4、比选申请人应按照比选申请书格式的要求编制比选申请书。比选申请书密封后按规定的时间和地点提交。</w:t>
      </w:r>
    </w:p>
    <w:p w14:paraId="1036B90D">
      <w:pPr>
        <w:spacing w:line="360" w:lineRule="auto"/>
        <w:ind w:firstLine="560"/>
        <w:jc w:val="left"/>
        <w:rPr>
          <w:rFonts w:ascii="Times New Roman" w:hAnsi="Times New Roman" w:eastAsia="Times New Roman" w:cs="Times New Roman"/>
          <w:color w:val="auto"/>
          <w:sz w:val="28"/>
        </w:rPr>
      </w:pPr>
    </w:p>
    <w:p w14:paraId="06AC734C">
      <w:pPr>
        <w:spacing w:line="360" w:lineRule="auto"/>
        <w:ind w:firstLine="560"/>
        <w:jc w:val="left"/>
        <w:rPr>
          <w:rFonts w:ascii="Times New Roman" w:hAnsi="Times New Roman" w:eastAsia="Times New Roman" w:cs="Times New Roman"/>
          <w:color w:val="auto"/>
          <w:sz w:val="28"/>
        </w:rPr>
      </w:pPr>
    </w:p>
    <w:p w14:paraId="4995E5E6">
      <w:pPr>
        <w:spacing w:line="360" w:lineRule="auto"/>
        <w:ind w:firstLine="560"/>
        <w:jc w:val="left"/>
        <w:rPr>
          <w:rFonts w:ascii="Times New Roman" w:hAnsi="Times New Roman" w:eastAsia="Times New Roman" w:cs="Times New Roman"/>
          <w:color w:val="auto"/>
          <w:sz w:val="28"/>
        </w:rPr>
      </w:pPr>
      <w:r>
        <w:rPr>
          <w:rFonts w:ascii="Times New Roman" w:hAnsi="Times New Roman" w:eastAsia="Times New Roman" w:cs="Times New Roman"/>
          <w:color w:val="auto"/>
          <w:sz w:val="28"/>
        </w:rPr>
        <w:t xml:space="preserve"> </w:t>
      </w:r>
    </w:p>
    <w:p w14:paraId="39FB38FE">
      <w:pPr>
        <w:spacing w:line="360" w:lineRule="auto"/>
        <w:jc w:val="left"/>
        <w:rPr>
          <w:rFonts w:ascii="Times New Roman" w:hAnsi="Times New Roman" w:eastAsia="Times New Roman" w:cs="Times New Roman"/>
          <w:color w:val="auto"/>
          <w:sz w:val="24"/>
        </w:rPr>
      </w:pPr>
    </w:p>
    <w:p w14:paraId="07F6AA72">
      <w:pPr>
        <w:spacing w:line="360" w:lineRule="auto"/>
        <w:jc w:val="center"/>
        <w:rPr>
          <w:rFonts w:ascii="Times New Roman" w:hAnsi="Times New Roman" w:eastAsia="Times New Roman" w:cs="Times New Roman"/>
          <w:b/>
          <w:color w:val="auto"/>
          <w:sz w:val="32"/>
        </w:rPr>
      </w:pPr>
    </w:p>
    <w:p w14:paraId="7A043BE6">
      <w:pPr>
        <w:spacing w:line="360" w:lineRule="auto"/>
        <w:jc w:val="center"/>
        <w:rPr>
          <w:rFonts w:ascii="Times New Roman" w:hAnsi="Times New Roman" w:eastAsia="Times New Roman" w:cs="Times New Roman"/>
          <w:b/>
          <w:color w:val="auto"/>
          <w:sz w:val="48"/>
        </w:rPr>
      </w:pPr>
    </w:p>
    <w:p w14:paraId="3E805AC0">
      <w:pPr>
        <w:widowControl/>
        <w:jc w:val="left"/>
        <w:rPr>
          <w:rFonts w:ascii="宋体" w:hAnsi="宋体" w:eastAsia="宋体" w:cs="宋体"/>
          <w:b/>
          <w:color w:val="auto"/>
          <w:sz w:val="48"/>
        </w:rPr>
      </w:pPr>
      <w:r>
        <w:rPr>
          <w:rFonts w:ascii="宋体" w:hAnsi="宋体" w:eastAsia="宋体" w:cs="宋体"/>
          <w:b/>
          <w:color w:val="auto"/>
          <w:sz w:val="48"/>
        </w:rPr>
        <w:br w:type="page"/>
      </w:r>
    </w:p>
    <w:p w14:paraId="471242C6">
      <w:pPr>
        <w:spacing w:line="360" w:lineRule="auto"/>
        <w:jc w:val="center"/>
        <w:rPr>
          <w:rFonts w:ascii="华文中宋" w:hAnsi="华文中宋" w:eastAsia="华文中宋" w:cs="宋体"/>
          <w:b/>
          <w:color w:val="auto"/>
          <w:sz w:val="44"/>
          <w:szCs w:val="44"/>
        </w:rPr>
      </w:pPr>
    </w:p>
    <w:p w14:paraId="52007FEB">
      <w:pPr>
        <w:spacing w:line="360" w:lineRule="auto"/>
        <w:jc w:val="center"/>
        <w:rPr>
          <w:rFonts w:ascii="华文中宋" w:hAnsi="华文中宋" w:eastAsia="华文中宋" w:cs="宋体"/>
          <w:b/>
          <w:color w:val="auto"/>
          <w:sz w:val="44"/>
          <w:szCs w:val="44"/>
        </w:rPr>
      </w:pPr>
      <w:r>
        <w:rPr>
          <w:rFonts w:hint="eastAsia" w:ascii="华文中宋" w:hAnsi="华文中宋" w:eastAsia="华文中宋" w:cs="宋体"/>
          <w:b/>
          <w:color w:val="auto"/>
          <w:sz w:val="44"/>
          <w:szCs w:val="44"/>
        </w:rPr>
        <w:t>XX项目</w:t>
      </w:r>
    </w:p>
    <w:p w14:paraId="22038D4C">
      <w:pPr>
        <w:spacing w:line="360" w:lineRule="auto"/>
        <w:jc w:val="center"/>
        <w:rPr>
          <w:rFonts w:ascii="华文中宋" w:hAnsi="华文中宋" w:eastAsia="华文中宋" w:cs="Times New Roman"/>
          <w:b/>
          <w:color w:val="auto"/>
          <w:sz w:val="44"/>
        </w:rPr>
      </w:pPr>
    </w:p>
    <w:p w14:paraId="1242980B">
      <w:pPr>
        <w:spacing w:line="360" w:lineRule="auto"/>
        <w:jc w:val="center"/>
        <w:rPr>
          <w:rFonts w:ascii="华文中宋" w:hAnsi="华文中宋" w:eastAsia="华文中宋" w:cs="Times New Roman"/>
          <w:b/>
          <w:color w:val="auto"/>
          <w:sz w:val="44"/>
        </w:rPr>
      </w:pPr>
    </w:p>
    <w:p w14:paraId="3614ACB2">
      <w:pPr>
        <w:spacing w:line="360" w:lineRule="auto"/>
        <w:jc w:val="center"/>
        <w:rPr>
          <w:rFonts w:ascii="华文中宋" w:hAnsi="华文中宋" w:eastAsia="华文中宋" w:cs="Times New Roman"/>
          <w:b/>
          <w:color w:val="auto"/>
          <w:sz w:val="52"/>
        </w:rPr>
      </w:pPr>
      <w:r>
        <w:rPr>
          <w:rFonts w:ascii="华文中宋" w:hAnsi="华文中宋" w:eastAsia="华文中宋" w:cs="宋体"/>
          <w:b/>
          <w:color w:val="auto"/>
          <w:sz w:val="52"/>
        </w:rPr>
        <w:t>比</w:t>
      </w:r>
    </w:p>
    <w:p w14:paraId="425E3EA6">
      <w:pPr>
        <w:spacing w:line="360" w:lineRule="auto"/>
        <w:jc w:val="center"/>
        <w:rPr>
          <w:rFonts w:ascii="华文中宋" w:hAnsi="华文中宋" w:eastAsia="华文中宋" w:cs="Times New Roman"/>
          <w:b/>
          <w:color w:val="auto"/>
          <w:sz w:val="52"/>
        </w:rPr>
      </w:pPr>
      <w:r>
        <w:rPr>
          <w:rFonts w:ascii="华文中宋" w:hAnsi="华文中宋" w:eastAsia="华文中宋" w:cs="宋体"/>
          <w:b/>
          <w:color w:val="auto"/>
          <w:sz w:val="52"/>
        </w:rPr>
        <w:t>选</w:t>
      </w:r>
    </w:p>
    <w:p w14:paraId="14B6B214">
      <w:pPr>
        <w:spacing w:line="360" w:lineRule="auto"/>
        <w:jc w:val="center"/>
        <w:rPr>
          <w:rFonts w:ascii="华文中宋" w:hAnsi="华文中宋" w:eastAsia="华文中宋" w:cs="Times New Roman"/>
          <w:b/>
          <w:color w:val="auto"/>
          <w:sz w:val="52"/>
        </w:rPr>
      </w:pPr>
      <w:r>
        <w:rPr>
          <w:rFonts w:ascii="华文中宋" w:hAnsi="华文中宋" w:eastAsia="华文中宋" w:cs="宋体"/>
          <w:b/>
          <w:color w:val="auto"/>
          <w:sz w:val="52"/>
        </w:rPr>
        <w:t>申</w:t>
      </w:r>
    </w:p>
    <w:p w14:paraId="7026E7CF">
      <w:pPr>
        <w:spacing w:line="360" w:lineRule="auto"/>
        <w:jc w:val="center"/>
        <w:rPr>
          <w:rFonts w:ascii="华文中宋" w:hAnsi="华文中宋" w:eastAsia="华文中宋" w:cs="Times New Roman"/>
          <w:b/>
          <w:color w:val="auto"/>
          <w:sz w:val="52"/>
        </w:rPr>
      </w:pPr>
      <w:r>
        <w:rPr>
          <w:rFonts w:ascii="华文中宋" w:hAnsi="华文中宋" w:eastAsia="华文中宋" w:cs="宋体"/>
          <w:b/>
          <w:color w:val="auto"/>
          <w:sz w:val="52"/>
        </w:rPr>
        <w:t>请</w:t>
      </w:r>
    </w:p>
    <w:p w14:paraId="0D5848DE">
      <w:pPr>
        <w:spacing w:line="360" w:lineRule="auto"/>
        <w:jc w:val="center"/>
        <w:rPr>
          <w:rFonts w:ascii="华文中宋" w:hAnsi="华文中宋" w:eastAsia="华文中宋" w:cs="Times New Roman"/>
          <w:b/>
          <w:color w:val="auto"/>
          <w:sz w:val="52"/>
        </w:rPr>
      </w:pPr>
      <w:r>
        <w:rPr>
          <w:rFonts w:ascii="华文中宋" w:hAnsi="华文中宋" w:eastAsia="华文中宋" w:cs="宋体"/>
          <w:b/>
          <w:color w:val="auto"/>
          <w:sz w:val="52"/>
        </w:rPr>
        <w:t>书</w:t>
      </w:r>
    </w:p>
    <w:p w14:paraId="5BC0EDC0">
      <w:pPr>
        <w:spacing w:line="360" w:lineRule="auto"/>
        <w:rPr>
          <w:rFonts w:ascii="华文中宋" w:hAnsi="华文中宋" w:eastAsia="华文中宋" w:cs="Times New Roman"/>
          <w:color w:val="auto"/>
          <w:sz w:val="28"/>
        </w:rPr>
      </w:pPr>
    </w:p>
    <w:p w14:paraId="2ED089A2">
      <w:pPr>
        <w:spacing w:line="360" w:lineRule="auto"/>
        <w:rPr>
          <w:rFonts w:ascii="华文中宋" w:hAnsi="华文中宋" w:eastAsia="华文中宋" w:cs="Times New Roman"/>
          <w:color w:val="auto"/>
          <w:sz w:val="28"/>
        </w:rPr>
      </w:pPr>
    </w:p>
    <w:p w14:paraId="43154B44">
      <w:pPr>
        <w:spacing w:line="360" w:lineRule="auto"/>
        <w:rPr>
          <w:rFonts w:ascii="华文中宋" w:hAnsi="华文中宋" w:eastAsia="华文中宋" w:cs="Times New Roman"/>
          <w:color w:val="auto"/>
          <w:sz w:val="28"/>
        </w:rPr>
      </w:pPr>
    </w:p>
    <w:p w14:paraId="042AB028">
      <w:pPr>
        <w:spacing w:line="360" w:lineRule="auto"/>
        <w:jc w:val="center"/>
        <w:rPr>
          <w:rFonts w:ascii="华文中宋" w:hAnsi="华文中宋" w:eastAsia="华文中宋" w:cs="Times New Roman"/>
          <w:b/>
          <w:bCs/>
          <w:color w:val="auto"/>
          <w:sz w:val="32"/>
        </w:rPr>
      </w:pPr>
      <w:r>
        <w:rPr>
          <w:rFonts w:ascii="华文中宋" w:hAnsi="华文中宋" w:eastAsia="华文中宋" w:cs="宋体"/>
          <w:b/>
          <w:bCs/>
          <w:color w:val="auto"/>
          <w:sz w:val="32"/>
        </w:rPr>
        <w:t>比选申请人：（全称并加盖单位公章）</w:t>
      </w:r>
    </w:p>
    <w:p w14:paraId="5AC11E77">
      <w:pPr>
        <w:spacing w:line="360" w:lineRule="auto"/>
        <w:jc w:val="center"/>
        <w:rPr>
          <w:rFonts w:ascii="华文中宋" w:hAnsi="华文中宋" w:eastAsia="华文中宋" w:cs="Times New Roman"/>
          <w:b/>
          <w:bCs/>
          <w:color w:val="auto"/>
          <w:sz w:val="32"/>
        </w:rPr>
      </w:pPr>
      <w:r>
        <w:rPr>
          <w:rFonts w:hint="eastAsia" w:ascii="华文中宋" w:hAnsi="华文中宋" w:eastAsia="华文中宋" w:cs="宋体"/>
          <w:b/>
          <w:bCs/>
          <w:color w:val="auto"/>
          <w:sz w:val="32"/>
        </w:rPr>
        <w:t>X</w:t>
      </w:r>
      <w:r>
        <w:rPr>
          <w:rFonts w:ascii="华文中宋" w:hAnsi="华文中宋" w:eastAsia="华文中宋" w:cs="宋体"/>
          <w:b/>
          <w:bCs/>
          <w:color w:val="auto"/>
          <w:sz w:val="32"/>
        </w:rPr>
        <w:t>年</w:t>
      </w:r>
      <w:r>
        <w:rPr>
          <w:rFonts w:hint="eastAsia" w:ascii="华文中宋" w:hAnsi="华文中宋" w:eastAsia="华文中宋" w:cs="宋体"/>
          <w:b/>
          <w:bCs/>
          <w:color w:val="auto"/>
          <w:sz w:val="32"/>
        </w:rPr>
        <w:t>X</w:t>
      </w:r>
      <w:r>
        <w:rPr>
          <w:rFonts w:ascii="华文中宋" w:hAnsi="华文中宋" w:eastAsia="华文中宋" w:cs="宋体"/>
          <w:b/>
          <w:bCs/>
          <w:color w:val="auto"/>
          <w:sz w:val="32"/>
        </w:rPr>
        <w:t>月</w:t>
      </w:r>
      <w:r>
        <w:rPr>
          <w:rFonts w:hint="eastAsia" w:ascii="华文中宋" w:hAnsi="华文中宋" w:eastAsia="华文中宋" w:cs="宋体"/>
          <w:b/>
          <w:bCs/>
          <w:color w:val="auto"/>
          <w:sz w:val="32"/>
        </w:rPr>
        <w:t>X</w:t>
      </w:r>
      <w:r>
        <w:rPr>
          <w:rFonts w:ascii="华文中宋" w:hAnsi="华文中宋" w:eastAsia="华文中宋" w:cs="宋体"/>
          <w:b/>
          <w:bCs/>
          <w:color w:val="auto"/>
          <w:sz w:val="32"/>
        </w:rPr>
        <w:t>日</w:t>
      </w:r>
    </w:p>
    <w:p w14:paraId="78216049">
      <w:pPr>
        <w:spacing w:line="360" w:lineRule="auto"/>
        <w:jc w:val="center"/>
        <w:rPr>
          <w:rFonts w:ascii="华文中宋" w:hAnsi="华文中宋" w:eastAsia="华文中宋" w:cs="Cambria"/>
          <w:b/>
          <w:color w:val="auto"/>
          <w:sz w:val="32"/>
        </w:rPr>
      </w:pPr>
      <w:r>
        <w:rPr>
          <w:rFonts w:ascii="华文中宋" w:hAnsi="华文中宋" w:eastAsia="华文中宋" w:cs="Cambria"/>
          <w:b/>
          <w:color w:val="auto"/>
          <w:sz w:val="32"/>
        </w:rPr>
        <w:t xml:space="preserve"> </w:t>
      </w:r>
    </w:p>
    <w:p w14:paraId="57FD1AE1">
      <w:pPr>
        <w:spacing w:line="360" w:lineRule="auto"/>
        <w:jc w:val="center"/>
        <w:rPr>
          <w:rFonts w:ascii="Cambria" w:hAnsi="Cambria" w:cs="Cambria"/>
          <w:b/>
          <w:color w:val="auto"/>
          <w:sz w:val="32"/>
        </w:rPr>
      </w:pPr>
    </w:p>
    <w:p w14:paraId="29D23565">
      <w:pPr>
        <w:spacing w:line="360" w:lineRule="auto"/>
        <w:jc w:val="center"/>
        <w:rPr>
          <w:rFonts w:ascii="Cambria" w:hAnsi="Cambria" w:cs="Cambria"/>
          <w:b/>
          <w:color w:val="auto"/>
          <w:sz w:val="32"/>
        </w:rPr>
      </w:pPr>
    </w:p>
    <w:p w14:paraId="53E95921">
      <w:pPr>
        <w:widowControl/>
        <w:jc w:val="left"/>
        <w:rPr>
          <w:rFonts w:ascii="Cambria" w:hAnsi="Cambria" w:eastAsia="Cambria" w:cs="Cambria"/>
          <w:b/>
          <w:color w:val="auto"/>
          <w:sz w:val="32"/>
        </w:rPr>
      </w:pPr>
      <w:r>
        <w:rPr>
          <w:rFonts w:ascii="Cambria" w:hAnsi="Cambria" w:eastAsia="Cambria" w:cs="Cambria"/>
          <w:b/>
          <w:color w:val="auto"/>
          <w:sz w:val="32"/>
        </w:rPr>
        <w:br w:type="page"/>
      </w:r>
    </w:p>
    <w:p w14:paraId="3526EBF3">
      <w:pPr>
        <w:pStyle w:val="4"/>
        <w:rPr>
          <w:rFonts w:ascii="华文中宋" w:hAnsi="华文中宋" w:eastAsia="华文中宋" w:cs="宋体"/>
          <w:bCs w:val="0"/>
          <w:color w:val="auto"/>
        </w:rPr>
      </w:pPr>
      <w:r>
        <w:rPr>
          <w:rFonts w:ascii="华文中宋" w:hAnsi="华文中宋" w:eastAsia="华文中宋" w:cs="宋体"/>
          <w:bCs w:val="0"/>
          <w:color w:val="auto"/>
        </w:rPr>
        <w:t>1、</w:t>
      </w:r>
      <w:r>
        <w:rPr>
          <w:rFonts w:hint="eastAsia" w:ascii="华文中宋" w:hAnsi="华文中宋" w:eastAsia="华文中宋" w:cs="宋体"/>
          <w:bCs w:val="0"/>
          <w:color w:val="auto"/>
        </w:rPr>
        <w:t>法定代表人/单位负责人</w:t>
      </w:r>
      <w:r>
        <w:rPr>
          <w:rFonts w:ascii="华文中宋" w:hAnsi="华文中宋" w:eastAsia="华文中宋" w:cs="宋体"/>
          <w:bCs w:val="0"/>
          <w:color w:val="auto"/>
        </w:rPr>
        <w:t>授权书</w:t>
      </w:r>
    </w:p>
    <w:p w14:paraId="532C2B79">
      <w:pPr>
        <w:spacing w:before="80" w:after="80" w:line="360" w:lineRule="auto"/>
        <w:jc w:val="center"/>
        <w:rPr>
          <w:rFonts w:ascii="宋体" w:hAnsi="宋体" w:eastAsia="宋体" w:cs="Times New Roman"/>
          <w:b/>
          <w:bCs/>
          <w:color w:val="auto"/>
          <w:sz w:val="24"/>
          <w:szCs w:val="24"/>
        </w:rPr>
      </w:pPr>
      <w:r>
        <w:rPr>
          <w:rFonts w:hint="eastAsia" w:ascii="宋体" w:hAnsi="宋体" w:eastAsia="宋体" w:cs="Times New Roman"/>
          <w:b/>
          <w:bCs/>
          <w:color w:val="auto"/>
          <w:sz w:val="24"/>
          <w:szCs w:val="24"/>
        </w:rPr>
        <w:t>（适用于非法定代表人直接参与）</w:t>
      </w:r>
    </w:p>
    <w:p w14:paraId="3DBA70FD">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本授权委托书声明：我</w:t>
      </w:r>
      <w:r>
        <w:rPr>
          <w:rFonts w:cs="宋体" w:asciiTheme="minorEastAsia" w:hAnsiTheme="minorEastAsia"/>
          <w:color w:val="auto"/>
          <w:sz w:val="24"/>
          <w:szCs w:val="24"/>
          <w:u w:val="single"/>
        </w:rPr>
        <w:t>（姓名）</w:t>
      </w:r>
      <w:r>
        <w:rPr>
          <w:rFonts w:cs="宋体" w:asciiTheme="minorEastAsia" w:hAnsiTheme="minorEastAsia"/>
          <w:color w:val="auto"/>
          <w:sz w:val="24"/>
          <w:szCs w:val="24"/>
        </w:rPr>
        <w:t>系</w:t>
      </w:r>
      <w:r>
        <w:rPr>
          <w:rFonts w:cs="宋体" w:asciiTheme="minorEastAsia" w:hAnsiTheme="minorEastAsia"/>
          <w:color w:val="auto"/>
          <w:sz w:val="24"/>
          <w:szCs w:val="24"/>
          <w:u w:val="single"/>
        </w:rPr>
        <w:t>（比选申请人名称）</w:t>
      </w:r>
      <w:r>
        <w:rPr>
          <w:rFonts w:cs="宋体" w:asciiTheme="minorEastAsia" w:hAnsiTheme="minorEastAsia"/>
          <w:color w:val="auto"/>
          <w:sz w:val="24"/>
          <w:szCs w:val="24"/>
        </w:rPr>
        <w:t>的法定代表人，现授权</w:t>
      </w:r>
      <w:r>
        <w:rPr>
          <w:rFonts w:cs="宋体" w:asciiTheme="minorEastAsia" w:hAnsiTheme="minorEastAsia"/>
          <w:color w:val="auto"/>
          <w:sz w:val="24"/>
          <w:szCs w:val="24"/>
          <w:u w:val="single"/>
        </w:rPr>
        <w:t>（姓名）</w:t>
      </w:r>
      <w:r>
        <w:rPr>
          <w:rFonts w:cs="宋体" w:asciiTheme="minorEastAsia" w:hAnsiTheme="minorEastAsia"/>
          <w:color w:val="auto"/>
          <w:sz w:val="24"/>
          <w:szCs w:val="24"/>
        </w:rPr>
        <w:t>为我单位委托代理人，以本单位的名义参加</w:t>
      </w:r>
      <w:r>
        <w:rPr>
          <w:rFonts w:cs="宋体" w:asciiTheme="minorEastAsia" w:hAnsiTheme="minorEastAsia"/>
          <w:color w:val="auto"/>
          <w:sz w:val="24"/>
          <w:szCs w:val="24"/>
          <w:u w:val="single"/>
        </w:rPr>
        <w:t>（项目名称）</w:t>
      </w:r>
      <w:r>
        <w:rPr>
          <w:rFonts w:cs="宋体" w:asciiTheme="minorEastAsia" w:hAnsiTheme="minorEastAsia"/>
          <w:color w:val="auto"/>
          <w:sz w:val="24"/>
          <w:szCs w:val="24"/>
        </w:rPr>
        <w:t>的比选活动。委托代理人在比选活动的合法代表，以我方名义全权处理该项目有关比选、签订合同以及执行合同等一切事宜。</w:t>
      </w:r>
    </w:p>
    <w:p w14:paraId="53E01EE1">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委托代理人无转委托权。特此委托。</w:t>
      </w:r>
    </w:p>
    <w:p w14:paraId="453F8187">
      <w:pPr>
        <w:spacing w:before="80" w:after="80" w:line="360" w:lineRule="auto"/>
        <w:ind w:firstLine="560"/>
        <w:jc w:val="left"/>
        <w:rPr>
          <w:rFonts w:cs="Times New Roman" w:asciiTheme="minorEastAsia" w:hAnsiTheme="minorEastAsia"/>
          <w:color w:val="auto"/>
          <w:sz w:val="24"/>
          <w:szCs w:val="24"/>
        </w:rPr>
      </w:pPr>
    </w:p>
    <w:p w14:paraId="157D94C1">
      <w:pPr>
        <w:spacing w:before="80" w:after="80" w:line="360" w:lineRule="auto"/>
        <w:ind w:firstLine="560"/>
        <w:jc w:val="left"/>
        <w:rPr>
          <w:rFonts w:cs="Times New Roman" w:asciiTheme="minorEastAsia" w:hAnsiTheme="minorEastAsia"/>
          <w:color w:val="auto"/>
          <w:sz w:val="24"/>
          <w:szCs w:val="24"/>
        </w:rPr>
      </w:pPr>
    </w:p>
    <w:p w14:paraId="4E458B51">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授权人</w:t>
      </w:r>
      <w:r>
        <w:rPr>
          <w:rFonts w:cs="Times New Roman" w:asciiTheme="minorEastAsia" w:hAnsiTheme="minorEastAsia"/>
          <w:color w:val="auto"/>
          <w:sz w:val="24"/>
          <w:szCs w:val="24"/>
        </w:rPr>
        <w:t>(</w:t>
      </w:r>
      <w:r>
        <w:rPr>
          <w:rFonts w:cs="宋体" w:asciiTheme="minorEastAsia" w:hAnsiTheme="minorEastAsia"/>
          <w:color w:val="auto"/>
          <w:sz w:val="24"/>
          <w:szCs w:val="24"/>
        </w:rPr>
        <w:t>法定代表人</w:t>
      </w:r>
      <w:r>
        <w:rPr>
          <w:rFonts w:cs="Times New Roman" w:asciiTheme="minorEastAsia" w:hAnsiTheme="minorEastAsia"/>
          <w:color w:val="auto"/>
          <w:sz w:val="24"/>
          <w:szCs w:val="24"/>
        </w:rPr>
        <w:t>):</w:t>
      </w:r>
      <w:r>
        <w:rPr>
          <w:rFonts w:cs="宋体" w:asciiTheme="minorEastAsia" w:hAnsiTheme="minorEastAsia"/>
          <w:color w:val="auto"/>
          <w:sz w:val="24"/>
          <w:szCs w:val="24"/>
          <w:u w:val="single"/>
        </w:rPr>
        <w:t>（签字）</w:t>
      </w:r>
      <w:r>
        <w:rPr>
          <w:rFonts w:cs="宋体" w:asciiTheme="minorEastAsia" w:hAnsiTheme="minorEastAsia"/>
          <w:color w:val="auto"/>
          <w:sz w:val="24"/>
          <w:szCs w:val="24"/>
        </w:rPr>
        <w:t>联系电话：</w:t>
      </w:r>
    </w:p>
    <w:p w14:paraId="67B88351">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委托代理人：</w:t>
      </w:r>
      <w:r>
        <w:rPr>
          <w:rFonts w:cs="宋体" w:asciiTheme="minorEastAsia" w:hAnsiTheme="minorEastAsia"/>
          <w:color w:val="auto"/>
          <w:sz w:val="24"/>
          <w:szCs w:val="24"/>
          <w:u w:val="single"/>
        </w:rPr>
        <w:t>（签字）</w:t>
      </w:r>
      <w:r>
        <w:rPr>
          <w:rFonts w:cs="宋体" w:asciiTheme="minorEastAsia" w:hAnsiTheme="minorEastAsia"/>
          <w:color w:val="auto"/>
          <w:sz w:val="24"/>
          <w:szCs w:val="24"/>
        </w:rPr>
        <w:t>手机：</w:t>
      </w:r>
    </w:p>
    <w:p w14:paraId="5439E1FB">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委托代理人部门：职务：</w:t>
      </w:r>
    </w:p>
    <w:p w14:paraId="244EFD89">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单位电话：传真：</w:t>
      </w:r>
    </w:p>
    <w:p w14:paraId="6B931091">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比选申请人：</w:t>
      </w:r>
      <w:r>
        <w:rPr>
          <w:rFonts w:cs="宋体" w:asciiTheme="minorEastAsia" w:hAnsiTheme="minorEastAsia"/>
          <w:color w:val="auto"/>
          <w:sz w:val="24"/>
          <w:szCs w:val="24"/>
          <w:u w:val="single"/>
        </w:rPr>
        <w:t>（全称并加盖公章）</w:t>
      </w:r>
    </w:p>
    <w:p w14:paraId="2F8C2E92">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日期：年月日</w:t>
      </w:r>
    </w:p>
    <w:p w14:paraId="0CB56977">
      <w:pPr>
        <w:spacing w:before="80" w:after="80" w:line="360" w:lineRule="auto"/>
        <w:jc w:val="left"/>
        <w:rPr>
          <w:rFonts w:cs="Times New Roman" w:asciiTheme="minorEastAsia" w:hAnsiTheme="minorEastAsia"/>
          <w:color w:val="auto"/>
          <w:sz w:val="24"/>
          <w:szCs w:val="24"/>
        </w:rPr>
      </w:pPr>
    </w:p>
    <w:p w14:paraId="30752A61">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（须附法定代表人和授权代表身份证复印件）</w:t>
      </w:r>
    </w:p>
    <w:p w14:paraId="0A5A85FC">
      <w:pPr>
        <w:widowControl/>
        <w:jc w:val="left"/>
        <w:rPr>
          <w:rFonts w:cs="宋体" w:asciiTheme="minorEastAsia" w:hAnsiTheme="minorEastAsia"/>
          <w:color w:val="auto"/>
          <w:sz w:val="24"/>
          <w:szCs w:val="24"/>
        </w:rPr>
      </w:pPr>
      <w:r>
        <w:rPr>
          <w:rFonts w:cs="宋体" w:asciiTheme="minorEastAsia" w:hAnsiTheme="minorEastAsia"/>
          <w:color w:val="auto"/>
          <w:sz w:val="24"/>
          <w:szCs w:val="24"/>
        </w:rPr>
        <w:br w:type="page"/>
      </w:r>
    </w:p>
    <w:p w14:paraId="304C2985">
      <w:pPr>
        <w:pStyle w:val="4"/>
        <w:rPr>
          <w:rFonts w:ascii="华文中宋" w:hAnsi="华文中宋" w:eastAsia="华文中宋" w:cs="宋体"/>
          <w:bCs w:val="0"/>
          <w:color w:val="auto"/>
        </w:rPr>
      </w:pPr>
      <w:r>
        <w:rPr>
          <w:rFonts w:hint="eastAsia" w:ascii="华文中宋" w:hAnsi="华文中宋" w:eastAsia="华文中宋" w:cs="宋体"/>
          <w:bCs w:val="0"/>
          <w:color w:val="auto"/>
        </w:rPr>
        <w:t>法定代表人/单位负责人证明书</w:t>
      </w:r>
    </w:p>
    <w:p w14:paraId="38AC5E31">
      <w:pPr>
        <w:spacing w:before="80" w:after="80" w:line="360" w:lineRule="auto"/>
        <w:jc w:val="center"/>
        <w:rPr>
          <w:rFonts w:ascii="宋体" w:hAnsi="宋体" w:eastAsia="宋体" w:cs="Times New Roman"/>
          <w:b/>
          <w:bCs/>
          <w:color w:val="auto"/>
          <w:sz w:val="24"/>
          <w:szCs w:val="24"/>
        </w:rPr>
      </w:pPr>
      <w:r>
        <w:rPr>
          <w:rFonts w:hint="eastAsia" w:ascii="宋体" w:hAnsi="宋体" w:eastAsia="宋体" w:cs="Times New Roman"/>
          <w:b/>
          <w:bCs/>
          <w:color w:val="auto"/>
          <w:sz w:val="24"/>
          <w:szCs w:val="24"/>
        </w:rPr>
        <w:t>（适用于法定代表人/单位负责人直接参与）</w:t>
      </w:r>
    </w:p>
    <w:p w14:paraId="100822A0">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比选申请人单位名称：</w:t>
      </w:r>
    </w:p>
    <w:p w14:paraId="0BE377BE">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单位性质：</w:t>
      </w:r>
    </w:p>
    <w:p w14:paraId="7FC43F11">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成立时间：年月日</w:t>
      </w:r>
    </w:p>
    <w:p w14:paraId="51588917">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经营期限：</w:t>
      </w:r>
    </w:p>
    <w:p w14:paraId="317FCD76">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姓名：性别：年龄：职务：</w:t>
      </w:r>
    </w:p>
    <w:p w14:paraId="424BFB13">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系（比选申请人名称）的法定代表人/单位负责人。</w:t>
      </w:r>
    </w:p>
    <w:p w14:paraId="0413EF9D">
      <w:pPr>
        <w:spacing w:before="80" w:after="80" w:line="360" w:lineRule="auto"/>
        <w:ind w:firstLine="960" w:firstLineChars="400"/>
        <w:rPr>
          <w:rFonts w:ascii="宋体" w:hAnsi="宋体" w:eastAsia="宋体" w:cs="Times New Roman"/>
          <w:color w:val="auto"/>
          <w:sz w:val="24"/>
          <w:szCs w:val="24"/>
        </w:rPr>
      </w:pPr>
    </w:p>
    <w:p w14:paraId="270C0C07">
      <w:pPr>
        <w:spacing w:before="80" w:after="80" w:line="360" w:lineRule="auto"/>
        <w:ind w:firstLine="960" w:firstLineChars="400"/>
        <w:rPr>
          <w:rFonts w:ascii="宋体" w:hAnsi="宋体" w:eastAsia="宋体" w:cs="Times New Roman"/>
          <w:color w:val="auto"/>
          <w:sz w:val="24"/>
          <w:szCs w:val="24"/>
        </w:rPr>
      </w:pPr>
      <w:r>
        <w:rPr>
          <w:rFonts w:hint="eastAsia" w:ascii="宋体" w:hAnsi="宋体" w:eastAsia="宋体" w:cs="Times New Roman"/>
          <w:color w:val="auto"/>
          <w:sz w:val="24"/>
          <w:szCs w:val="24"/>
        </w:rPr>
        <w:t>特此证明。</w:t>
      </w:r>
    </w:p>
    <w:p w14:paraId="7726DCB2">
      <w:pPr>
        <w:spacing w:before="80" w:after="80" w:line="360" w:lineRule="auto"/>
        <w:ind w:firstLine="480" w:firstLineChars="200"/>
        <w:rPr>
          <w:rFonts w:ascii="宋体" w:hAnsi="宋体" w:eastAsia="宋体" w:cs="Times New Roman"/>
          <w:color w:val="auto"/>
          <w:sz w:val="24"/>
          <w:szCs w:val="24"/>
        </w:rPr>
      </w:pPr>
    </w:p>
    <w:p w14:paraId="38EF06D3">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比选申请人：</w:t>
      </w:r>
      <w:r>
        <w:rPr>
          <w:rFonts w:hint="eastAsia" w:ascii="宋体" w:hAnsi="宋体" w:eastAsia="宋体" w:cs="Times New Roman"/>
          <w:color w:val="auto"/>
          <w:sz w:val="24"/>
          <w:szCs w:val="24"/>
          <w:u w:val="single"/>
        </w:rPr>
        <w:t xml:space="preserve">（单位公章）                                     </w:t>
      </w:r>
      <w:r>
        <w:rPr>
          <w:rFonts w:hint="eastAsia" w:ascii="宋体" w:hAnsi="宋体" w:eastAsia="宋体" w:cs="Times New Roman"/>
          <w:color w:val="auto"/>
          <w:sz w:val="24"/>
          <w:szCs w:val="24"/>
        </w:rPr>
        <w:t>。</w:t>
      </w:r>
    </w:p>
    <w:p w14:paraId="09645F3E">
      <w:pPr>
        <w:spacing w:before="80" w:after="80" w:line="360" w:lineRule="auto"/>
        <w:ind w:firstLine="484" w:firstLineChars="202"/>
        <w:jc w:val="left"/>
        <w:rPr>
          <w:rFonts w:ascii="宋体" w:hAnsi="宋体" w:eastAsia="宋体" w:cs="Times New Roman"/>
          <w:color w:val="auto"/>
          <w:sz w:val="24"/>
          <w:szCs w:val="24"/>
        </w:rPr>
      </w:pPr>
      <w:r>
        <w:rPr>
          <w:rFonts w:hint="eastAsia" w:ascii="宋体" w:hAnsi="宋体" w:eastAsia="宋体" w:cs="Times New Roman"/>
          <w:color w:val="auto"/>
          <w:sz w:val="24"/>
          <w:szCs w:val="24"/>
        </w:rPr>
        <w:t>日    期：</w:t>
      </w:r>
      <w:r>
        <w:rPr>
          <w:rFonts w:hint="eastAsia" w:ascii="宋体" w:hAnsi="宋体" w:eastAsia="宋体" w:cs="Times New Roman"/>
          <w:color w:val="auto"/>
          <w:sz w:val="24"/>
          <w:szCs w:val="24"/>
          <w:u w:val="single"/>
        </w:rPr>
        <w:t xml:space="preserve">        </w:t>
      </w:r>
      <w:r>
        <w:rPr>
          <w:rFonts w:ascii="宋体" w:hAnsi="宋体" w:eastAsia="宋体" w:cs="Times New Roman"/>
          <w:color w:val="auto"/>
          <w:sz w:val="24"/>
          <w:szCs w:val="24"/>
          <w:u w:val="single"/>
        </w:rPr>
        <w:t xml:space="preserve">                                     </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w:t>
      </w:r>
    </w:p>
    <w:p w14:paraId="5293DD3C">
      <w:pPr>
        <w:spacing w:before="80" w:after="80" w:line="360" w:lineRule="auto"/>
        <w:ind w:firstLine="484" w:firstLineChars="202"/>
        <w:jc w:val="left"/>
        <w:rPr>
          <w:rFonts w:ascii="宋体" w:hAnsi="宋体" w:eastAsia="宋体" w:cs="Times New Roman"/>
          <w:color w:val="auto"/>
          <w:sz w:val="24"/>
          <w:szCs w:val="24"/>
        </w:rPr>
      </w:pPr>
    </w:p>
    <w:p w14:paraId="7B435485">
      <w:pPr>
        <w:spacing w:before="80" w:after="80" w:line="360" w:lineRule="auto"/>
        <w:ind w:firstLine="480" w:firstLineChars="200"/>
        <w:rPr>
          <w:rFonts w:ascii="宋体" w:hAnsi="宋体" w:eastAsia="宋体" w:cs="Times New Roman"/>
          <w:b/>
          <w:color w:val="auto"/>
          <w:sz w:val="24"/>
          <w:szCs w:val="24"/>
        </w:rPr>
      </w:pPr>
      <w:r>
        <w:rPr>
          <w:rFonts w:hint="eastAsia" w:ascii="宋体" w:hAnsi="宋体" w:eastAsia="宋体" w:cs="Times New Roman"/>
          <w:b/>
          <w:color w:val="auto"/>
          <w:sz w:val="24"/>
          <w:szCs w:val="24"/>
        </w:rPr>
        <w:t>注：1、比选申请人为法人单位时提供“法定代表人证明书”，比选申请人为其他组织时提供“单位负责人证明书”。</w:t>
      </w:r>
    </w:p>
    <w:p w14:paraId="7D1547C7">
      <w:pPr>
        <w:spacing w:before="80" w:after="80" w:line="360" w:lineRule="auto"/>
        <w:ind w:firstLine="480" w:firstLineChars="200"/>
        <w:rPr>
          <w:rFonts w:ascii="宋体" w:hAnsi="宋体" w:eastAsia="宋体" w:cs="Times New Roman"/>
          <w:b/>
          <w:color w:val="auto"/>
          <w:sz w:val="24"/>
          <w:szCs w:val="24"/>
        </w:rPr>
      </w:pPr>
      <w:r>
        <w:rPr>
          <w:rFonts w:ascii="宋体" w:hAnsi="宋体" w:eastAsia="宋体" w:cs="Times New Roman"/>
          <w:b/>
          <w:color w:val="auto"/>
          <w:sz w:val="24"/>
          <w:szCs w:val="24"/>
        </w:rPr>
        <w:t>2</w:t>
      </w:r>
      <w:r>
        <w:rPr>
          <w:rFonts w:hint="eastAsia" w:ascii="宋体" w:hAnsi="宋体" w:eastAsia="宋体" w:cs="Times New Roman"/>
          <w:b/>
          <w:color w:val="auto"/>
          <w:sz w:val="24"/>
          <w:szCs w:val="24"/>
        </w:rPr>
        <w:t>、法定代表人/单位负责人直接参与比选并签署响应文件时才须提供；</w:t>
      </w:r>
    </w:p>
    <w:p w14:paraId="0C3D1E3C">
      <w:pPr>
        <w:spacing w:before="80" w:after="80" w:line="360" w:lineRule="auto"/>
        <w:ind w:firstLine="480" w:firstLineChars="200"/>
        <w:rPr>
          <w:rFonts w:ascii="宋体" w:hAnsi="宋体" w:eastAsia="宋体" w:cs="Times New Roman"/>
          <w:b/>
          <w:color w:val="auto"/>
          <w:sz w:val="24"/>
          <w:szCs w:val="24"/>
        </w:rPr>
      </w:pPr>
      <w:r>
        <w:rPr>
          <w:rFonts w:ascii="宋体" w:hAnsi="宋体" w:eastAsia="宋体" w:cs="Times New Roman"/>
          <w:b/>
          <w:color w:val="auto"/>
          <w:sz w:val="24"/>
          <w:szCs w:val="24"/>
        </w:rPr>
        <w:t>3</w:t>
      </w:r>
      <w:r>
        <w:rPr>
          <w:rFonts w:hint="eastAsia" w:ascii="宋体" w:hAnsi="宋体" w:eastAsia="宋体" w:cs="Times New Roman"/>
          <w:b/>
          <w:color w:val="auto"/>
          <w:sz w:val="24"/>
          <w:szCs w:val="24"/>
        </w:rPr>
        <w:t>、应附法定代表人/单位负责人身份证（正反面）复印件；（提供身份证有困难的，也可提供户口本或军官证或护照等身份证明材料）</w:t>
      </w:r>
    </w:p>
    <w:p w14:paraId="2A7255BE">
      <w:pPr>
        <w:spacing w:before="80" w:after="80" w:line="360" w:lineRule="auto"/>
        <w:ind w:firstLine="480" w:firstLineChars="200"/>
        <w:rPr>
          <w:rFonts w:cs="Times New Roman" w:asciiTheme="minorEastAsia" w:hAnsiTheme="minorEastAsia"/>
          <w:color w:val="auto"/>
          <w:sz w:val="24"/>
          <w:szCs w:val="24"/>
        </w:rPr>
      </w:pPr>
    </w:p>
    <w:p w14:paraId="63F2E32C">
      <w:pPr>
        <w:spacing w:line="360" w:lineRule="auto"/>
        <w:rPr>
          <w:rFonts w:ascii="Times New Roman" w:hAnsi="Times New Roman" w:eastAsia="Times New Roman" w:cs="Times New Roman"/>
          <w:color w:val="auto"/>
          <w:sz w:val="28"/>
        </w:rPr>
      </w:pPr>
      <w:r>
        <w:rPr>
          <w:rFonts w:ascii="Times New Roman" w:hAnsi="Times New Roman" w:eastAsia="Times New Roman" w:cs="Times New Roman"/>
          <w:color w:val="auto"/>
          <w:sz w:val="28"/>
        </w:rPr>
        <w:t xml:space="preserve"> </w:t>
      </w:r>
    </w:p>
    <w:p w14:paraId="2F7EEC94">
      <w:pPr>
        <w:widowControl/>
        <w:jc w:val="left"/>
        <w:rPr>
          <w:rFonts w:ascii="Times New Roman" w:hAnsi="Times New Roman" w:eastAsia="Times New Roman" w:cs="Times New Roman"/>
          <w:color w:val="auto"/>
          <w:sz w:val="28"/>
        </w:rPr>
      </w:pPr>
      <w:r>
        <w:rPr>
          <w:rFonts w:ascii="Times New Roman" w:hAnsi="Times New Roman" w:eastAsia="Times New Roman" w:cs="Times New Roman"/>
          <w:color w:val="auto"/>
          <w:sz w:val="28"/>
        </w:rPr>
        <w:br w:type="page"/>
      </w:r>
    </w:p>
    <w:p w14:paraId="1609641E">
      <w:pPr>
        <w:pStyle w:val="4"/>
        <w:rPr>
          <w:rFonts w:ascii="华文中宋" w:hAnsi="华文中宋" w:eastAsia="华文中宋" w:cs="宋体"/>
          <w:bCs w:val="0"/>
          <w:color w:val="auto"/>
        </w:rPr>
      </w:pPr>
      <w:r>
        <w:rPr>
          <w:rFonts w:ascii="华文中宋" w:hAnsi="华文中宋" w:eastAsia="华文中宋" w:cs="宋体"/>
          <w:bCs w:val="0"/>
          <w:color w:val="auto"/>
        </w:rPr>
        <w:t>2、报价函</w:t>
      </w:r>
    </w:p>
    <w:p w14:paraId="7C88FCB3">
      <w:pPr>
        <w:keepNext/>
        <w:keepLines/>
        <w:widowControl w:val="0"/>
        <w:adjustRightInd w:val="0"/>
        <w:snapToGrid w:val="0"/>
        <w:spacing w:before="260" w:after="260" w:line="240" w:lineRule="auto"/>
        <w:jc w:val="left"/>
        <w:outlineLvl w:val="1"/>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致：</w:t>
      </w:r>
      <w:r>
        <w:rPr>
          <w:rFonts w:hint="eastAsia" w:ascii="仿宋" w:hAnsi="仿宋" w:eastAsia="仿宋" w:cs="仿宋"/>
          <w:b/>
          <w:color w:val="auto"/>
          <w:sz w:val="24"/>
          <w:szCs w:val="24"/>
          <w:u w:val="single"/>
        </w:rPr>
        <w:t>成都市成华区</w:t>
      </w:r>
      <w:r>
        <w:rPr>
          <w:rFonts w:hint="eastAsia" w:ascii="仿宋" w:hAnsi="仿宋" w:eastAsia="仿宋" w:cs="仿宋"/>
          <w:b/>
          <w:color w:val="auto"/>
          <w:sz w:val="24"/>
          <w:szCs w:val="24"/>
          <w:u w:val="single"/>
          <w:lang w:val="en-US" w:eastAsia="zh-CN"/>
        </w:rPr>
        <w:t>中医医院</w:t>
      </w:r>
    </w:p>
    <w:p w14:paraId="2BAA1BF4">
      <w:pPr>
        <w:widowControl/>
        <w:adjustRightInd w:val="0"/>
        <w:snapToGrid w:val="0"/>
        <w:spacing w:line="360" w:lineRule="auto"/>
        <w:ind w:firstLine="56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我公司仔细研究了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采购</w:t>
      </w:r>
      <w:r>
        <w:rPr>
          <w:rFonts w:hint="eastAsia" w:ascii="仿宋" w:hAnsi="仿宋" w:eastAsia="仿宋" w:cs="仿宋"/>
          <w:color w:val="auto"/>
          <w:sz w:val="24"/>
          <w:szCs w:val="24"/>
        </w:rPr>
        <w:t>文件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的基本情况，根据本公司的实际情况，本公司的报价</w:t>
      </w:r>
      <w:r>
        <w:rPr>
          <w:rFonts w:hint="eastAsia" w:ascii="仿宋" w:hAnsi="仿宋" w:eastAsia="仿宋" w:cs="仿宋"/>
          <w:color w:val="auto"/>
          <w:sz w:val="24"/>
          <w:szCs w:val="24"/>
          <w:lang w:val="en-US" w:eastAsia="zh-CN"/>
        </w:rPr>
        <w:t>如下：</w:t>
      </w:r>
    </w:p>
    <w:p w14:paraId="0B9B3614">
      <w:pPr>
        <w:widowControl/>
        <w:adjustRightInd w:val="0"/>
        <w:snapToGrid w:val="0"/>
        <w:spacing w:line="360" w:lineRule="auto"/>
        <w:ind w:firstLine="560"/>
        <w:jc w:val="left"/>
        <w:rPr>
          <w:rFonts w:hint="eastAsia" w:ascii="仿宋" w:hAnsi="仿宋" w:eastAsia="仿宋" w:cs="仿宋"/>
          <w:b/>
          <w:bCs/>
          <w:color w:val="auto"/>
          <w:sz w:val="24"/>
          <w:szCs w:val="24"/>
          <w:u w:val="none"/>
          <w:lang w:val="en-US" w:eastAsia="zh-CN"/>
        </w:rPr>
      </w:pPr>
      <w:r>
        <w:rPr>
          <w:rFonts w:hint="eastAsia" w:ascii="仿宋" w:hAnsi="仿宋" w:eastAsia="仿宋" w:cs="仿宋"/>
          <w:color w:val="auto"/>
          <w:sz w:val="24"/>
          <w:szCs w:val="24"/>
          <w:lang w:val="en-US" w:eastAsia="zh-CN"/>
        </w:rPr>
        <w:t>1、</w:t>
      </w:r>
      <w:sdt>
        <w:sdtPr>
          <w:rPr>
            <w:rFonts w:hint="eastAsia" w:ascii="仿宋" w:hAnsi="仿宋" w:eastAsia="仿宋" w:cs="仿宋"/>
            <w:b/>
            <w:bCs/>
            <w:color w:val="auto"/>
            <w:kern w:val="2"/>
            <w:sz w:val="24"/>
            <w:szCs w:val="24"/>
            <w:u w:val="none"/>
            <w:lang w:val="en-US" w:eastAsia="zh-CN" w:bidi="ar-SA"/>
          </w:rPr>
          <w:id w:val="147464030"/>
          <w:lock w:val="sdtLocked"/>
          <w:placeholder>
            <w:docPart w:val="{b1665ced-1dba-4e65-8313-9151254cfe8e}"/>
          </w:placeholder>
          <w:dropDownList>
            <w:listItem w:displayText="选择一项。" w:value="选择一项。"/>
            <w:listItem w:displayText="总额合计报价" w:value="总额合计报价"/>
            <w:listItem w:displayText="分项统一折扣" w:value="分项统一折扣"/>
            <w:listItem w:displayText="单价报价" w:value="单价报价"/>
          </w:dropDownList>
        </w:sdtPr>
        <w:sdtEndPr>
          <w:rPr>
            <w:rFonts w:hint="eastAsia" w:ascii="仿宋" w:hAnsi="仿宋" w:eastAsia="仿宋" w:cs="仿宋"/>
            <w:b/>
            <w:bCs/>
            <w:color w:val="auto"/>
            <w:kern w:val="2"/>
            <w:sz w:val="24"/>
            <w:szCs w:val="24"/>
            <w:u w:val="none"/>
            <w:lang w:val="en-US" w:eastAsia="zh-CN" w:bidi="ar-SA"/>
          </w:rPr>
        </w:sdtEndPr>
        <w:sdtContent>
          <w:r>
            <w:rPr>
              <w:rFonts w:hint="eastAsia" w:ascii="仿宋" w:hAnsi="仿宋" w:eastAsia="仿宋" w:cs="仿宋"/>
              <w:b/>
              <w:bCs/>
              <w:color w:val="auto"/>
              <w:kern w:val="2"/>
              <w:sz w:val="24"/>
              <w:szCs w:val="24"/>
              <w:u w:val="none"/>
              <w:lang w:val="en-US" w:eastAsia="zh-CN" w:bidi="ar-SA"/>
            </w:rPr>
            <w:t>总额合计报价</w:t>
          </w:r>
        </w:sdtContent>
      </w:sdt>
      <w:r>
        <w:rPr>
          <w:rFonts w:hint="eastAsia" w:ascii="仿宋" w:hAnsi="仿宋" w:eastAsia="仿宋" w:cs="仿宋"/>
          <w:b/>
          <w:bCs/>
          <w:color w:val="auto"/>
          <w:sz w:val="24"/>
          <w:szCs w:val="24"/>
          <w:u w:val="none"/>
          <w:lang w:val="en-US" w:eastAsia="zh-CN"/>
        </w:rPr>
        <w:t>：</w:t>
      </w:r>
      <w:r>
        <w:rPr>
          <w:rFonts w:hint="eastAsia" w:ascii="仿宋" w:hAnsi="仿宋" w:eastAsia="仿宋" w:cs="仿宋"/>
          <w:b/>
          <w:bCs/>
          <w:color w:val="auto"/>
          <w:sz w:val="24"/>
          <w:szCs w:val="24"/>
          <w:u w:val="single"/>
          <w:lang w:val="en-US" w:eastAsia="zh-CN"/>
        </w:rPr>
        <w:t xml:space="preserve">         </w:t>
      </w:r>
      <w:sdt>
        <w:sdtPr>
          <w:rPr>
            <w:rFonts w:hint="eastAsia" w:ascii="仿宋" w:hAnsi="仿宋" w:eastAsia="仿宋" w:cs="仿宋"/>
            <w:b/>
            <w:bCs/>
            <w:color w:val="auto"/>
            <w:kern w:val="2"/>
            <w:sz w:val="24"/>
            <w:szCs w:val="24"/>
            <w:u w:val="single"/>
            <w:lang w:val="en-US" w:eastAsia="zh-CN" w:bidi="ar-SA"/>
          </w:rPr>
          <w:id w:val="147462988"/>
          <w:lock w:val="sdtLocked"/>
          <w:placeholder>
            <w:docPart w:val="{6b9cafa8-bac6-4ee3-8933-3c2f697da453}"/>
          </w:placeholder>
          <w:dropDownList>
            <w:listItem w:displayText="选择一项。" w:value="选择一项。"/>
            <w:listItem w:displayText="元" w:value="元"/>
            <w:listItem w:displayText="%。" w:value="%。"/>
          </w:dropDownList>
        </w:sdtPr>
        <w:sdtEndPr>
          <w:rPr>
            <w:rFonts w:hint="eastAsia" w:ascii="仿宋" w:hAnsi="仿宋" w:eastAsia="仿宋" w:cs="仿宋"/>
            <w:b/>
            <w:bCs/>
            <w:color w:val="auto"/>
            <w:kern w:val="2"/>
            <w:sz w:val="24"/>
            <w:szCs w:val="24"/>
            <w:u w:val="single"/>
            <w:lang w:val="en-US" w:eastAsia="zh-CN" w:bidi="ar-SA"/>
          </w:rPr>
        </w:sdtEndPr>
        <w:sdtContent>
          <w:r>
            <w:rPr>
              <w:rFonts w:hint="eastAsia" w:ascii="仿宋" w:hAnsi="仿宋" w:eastAsia="仿宋" w:cs="仿宋"/>
              <w:b/>
              <w:bCs/>
              <w:color w:val="auto"/>
              <w:kern w:val="2"/>
              <w:sz w:val="24"/>
              <w:szCs w:val="24"/>
              <w:u w:val="single"/>
              <w:lang w:val="en-US" w:eastAsia="zh-CN" w:bidi="ar-SA"/>
            </w:rPr>
            <w:t>元</w:t>
          </w:r>
        </w:sdtContent>
      </w:sdt>
      <w:r>
        <w:rPr>
          <w:rFonts w:hint="eastAsia" w:ascii="仿宋" w:hAnsi="仿宋" w:eastAsia="仿宋" w:cs="仿宋"/>
          <w:b/>
          <w:bCs/>
          <w:color w:val="auto"/>
          <w:kern w:val="2"/>
          <w:sz w:val="24"/>
          <w:szCs w:val="24"/>
          <w:u w:val="single"/>
          <w:lang w:val="en-US" w:eastAsia="zh-CN" w:bidi="ar-SA"/>
        </w:rPr>
        <w:t>。</w:t>
      </w:r>
    </w:p>
    <w:p w14:paraId="50613DDB">
      <w:pPr>
        <w:widowControl/>
        <w:adjustRightInd w:val="0"/>
        <w:snapToGrid w:val="0"/>
        <w:spacing w:line="360" w:lineRule="auto"/>
        <w:ind w:firstLine="560"/>
        <w:jc w:val="left"/>
        <w:rPr>
          <w:rFonts w:hint="eastAsia" w:ascii="仿宋" w:hAnsi="仿宋" w:eastAsia="仿宋" w:cs="仿宋"/>
          <w:b/>
          <w:bCs/>
          <w:color w:val="auto"/>
          <w:kern w:val="2"/>
          <w:sz w:val="24"/>
          <w:szCs w:val="24"/>
          <w:u w:val="none"/>
          <w:lang w:val="en-US" w:eastAsia="zh-CN" w:bidi="ar-SA"/>
        </w:rPr>
      </w:pPr>
      <w:r>
        <w:rPr>
          <w:rFonts w:hint="eastAsia" w:ascii="仿宋" w:hAnsi="仿宋" w:eastAsia="仿宋" w:cs="仿宋"/>
          <w:b/>
          <w:bCs/>
          <w:color w:val="auto"/>
          <w:sz w:val="24"/>
          <w:szCs w:val="24"/>
          <w:u w:val="none"/>
          <w:lang w:val="en-US" w:eastAsia="zh-CN"/>
        </w:rPr>
        <w:t>2、分项报价清单</w:t>
      </w:r>
      <w:sdt>
        <w:sdtPr>
          <w:rPr>
            <w:rFonts w:hint="eastAsia" w:ascii="仿宋" w:hAnsi="仿宋" w:eastAsia="仿宋" w:cs="仿宋"/>
            <w:b/>
            <w:bCs/>
            <w:color w:val="auto"/>
            <w:kern w:val="2"/>
            <w:sz w:val="24"/>
            <w:szCs w:val="24"/>
            <w:u w:val="none"/>
            <w:lang w:val="en-US" w:eastAsia="zh-CN" w:bidi="ar-SA"/>
          </w:rPr>
          <w:id w:val="147462309"/>
          <w:lock w:val="sdtLocked"/>
          <w:placeholder>
            <w:docPart w:val="{3aa195ac-40e5-4342-b860-d201475e6461}"/>
          </w:placeholder>
          <w:dropDownList>
            <w:listItem w:displayText="：附后。" w:value="：附后。"/>
            <w:listItem w:displayText="：无。" w:value="：无。"/>
          </w:dropDownList>
        </w:sdtPr>
        <w:sdtEndPr>
          <w:rPr>
            <w:rFonts w:hint="eastAsia" w:ascii="宋体" w:hAnsi="宋体" w:eastAsia="宋体" w:cs="宋体"/>
            <w:b/>
            <w:bCs/>
            <w:color w:val="auto"/>
            <w:kern w:val="2"/>
            <w:sz w:val="24"/>
            <w:szCs w:val="24"/>
            <w:u w:val="none"/>
            <w:lang w:val="en-US" w:eastAsia="zh-CN" w:bidi="ar-SA"/>
          </w:rPr>
        </w:sdtEndPr>
        <w:sdtContent>
          <w:r>
            <w:rPr>
              <w:rFonts w:hint="eastAsia" w:ascii="仿宋" w:hAnsi="仿宋" w:eastAsia="仿宋" w:cs="仿宋"/>
              <w:b/>
              <w:bCs/>
              <w:color w:val="auto"/>
              <w:kern w:val="2"/>
              <w:sz w:val="24"/>
              <w:szCs w:val="24"/>
              <w:u w:val="none"/>
              <w:lang w:val="en-US" w:eastAsia="zh-CN" w:bidi="ar-SA"/>
            </w:rPr>
            <w:t>：无。</w:t>
          </w:r>
        </w:sdtContent>
      </w:sdt>
      <w:r>
        <w:rPr>
          <w:rFonts w:hint="eastAsia" w:ascii="宋体" w:hAnsi="宋体" w:eastAsia="宋体" w:cs="宋体"/>
          <w:color w:val="auto"/>
          <w:kern w:val="2"/>
          <w:sz w:val="24"/>
          <w:szCs w:val="24"/>
          <w:u w:val="none"/>
          <w:lang w:val="en-US" w:eastAsia="zh-CN" w:bidi="ar-SA"/>
        </w:rPr>
        <w:t xml:space="preserve"> </w:t>
      </w:r>
      <w:r>
        <w:rPr>
          <w:rFonts w:hint="eastAsia" w:ascii="仿宋" w:hAnsi="仿宋" w:eastAsia="仿宋" w:cs="仿宋"/>
          <w:b/>
          <w:bCs/>
          <w:color w:val="auto"/>
          <w:kern w:val="2"/>
          <w:sz w:val="24"/>
          <w:szCs w:val="24"/>
          <w:u w:val="none"/>
          <w:lang w:val="en-US" w:eastAsia="zh-CN" w:bidi="ar-SA"/>
        </w:rPr>
        <w:t xml:space="preserve"> </w:t>
      </w:r>
    </w:p>
    <w:tbl>
      <w:tblPr>
        <w:tblStyle w:val="6"/>
        <w:tblW w:w="8760" w:type="dxa"/>
        <w:tblInd w:w="0" w:type="dxa"/>
        <w:shd w:val="clear" w:color="auto" w:fill="auto"/>
        <w:tblLayout w:type="fixed"/>
        <w:tblCellMar>
          <w:top w:w="0" w:type="dxa"/>
          <w:left w:w="0" w:type="dxa"/>
          <w:bottom w:w="0" w:type="dxa"/>
          <w:right w:w="0" w:type="dxa"/>
        </w:tblCellMar>
      </w:tblPr>
      <w:tblGrid>
        <w:gridCol w:w="1055"/>
        <w:gridCol w:w="4019"/>
        <w:gridCol w:w="1121"/>
        <w:gridCol w:w="862"/>
        <w:gridCol w:w="854"/>
        <w:gridCol w:w="849"/>
      </w:tblGrid>
      <w:tr w14:paraId="016004A7">
        <w:tblPrEx>
          <w:shd w:val="clear" w:color="auto" w:fill="auto"/>
          <w:tblCellMar>
            <w:top w:w="0" w:type="dxa"/>
            <w:left w:w="0" w:type="dxa"/>
            <w:bottom w:w="0" w:type="dxa"/>
            <w:right w:w="0" w:type="dxa"/>
          </w:tblCellMar>
        </w:tblPrEx>
        <w:trPr>
          <w:trHeight w:val="635" w:hRule="atLeast"/>
        </w:trPr>
        <w:tc>
          <w:tcPr>
            <w:tcW w:w="876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94270">
            <w:pPr>
              <w:keepNext w:val="0"/>
              <w:keepLines w:val="0"/>
              <w:widowControl/>
              <w:suppressLineNumbers w:val="0"/>
              <w:jc w:val="center"/>
              <w:textAlignment w:val="center"/>
              <w:rPr>
                <w:rFonts w:hint="default" w:ascii="方正仿宋简体" w:hAnsi="方正仿宋简体" w:eastAsia="方正仿宋简体" w:cs="方正仿宋简体"/>
                <w:i w:val="0"/>
                <w:color w:val="auto"/>
                <w:kern w:val="0"/>
                <w:sz w:val="20"/>
                <w:szCs w:val="20"/>
                <w:u w:val="none"/>
                <w:lang w:val="en-US" w:eastAsia="zh-CN" w:bidi="ar"/>
              </w:rPr>
            </w:pPr>
            <w:r>
              <w:rPr>
                <w:rFonts w:hint="eastAsia" w:ascii="方正仿宋简体" w:hAnsi="方正仿宋简体" w:eastAsia="方正仿宋简体" w:cs="方正仿宋简体"/>
                <w:i w:val="0"/>
                <w:color w:val="auto"/>
                <w:kern w:val="0"/>
                <w:sz w:val="20"/>
                <w:szCs w:val="20"/>
                <w:u w:val="none"/>
                <w:lang w:val="en-US" w:eastAsia="zh-CN" w:bidi="ar"/>
              </w:rPr>
              <w:t>监测项目</w:t>
            </w:r>
          </w:p>
        </w:tc>
      </w:tr>
      <w:tr w14:paraId="2C27958F">
        <w:tblPrEx>
          <w:shd w:val="clear" w:color="auto" w:fill="auto"/>
          <w:tblCellMar>
            <w:top w:w="0" w:type="dxa"/>
            <w:left w:w="0" w:type="dxa"/>
            <w:bottom w:w="0" w:type="dxa"/>
            <w:right w:w="0" w:type="dxa"/>
          </w:tblCellMar>
        </w:tblPrEx>
        <w:trPr>
          <w:trHeight w:val="675"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6500B">
            <w:pPr>
              <w:keepNext w:val="0"/>
              <w:keepLines w:val="0"/>
              <w:widowControl/>
              <w:suppressLineNumbers w:val="0"/>
              <w:jc w:val="center"/>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监测项目</w:t>
            </w: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621FD">
            <w:pPr>
              <w:keepNext w:val="0"/>
              <w:keepLines w:val="0"/>
              <w:widowControl/>
              <w:suppressLineNumbers w:val="0"/>
              <w:jc w:val="center"/>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监测内容</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6640E">
            <w:pPr>
              <w:keepNext w:val="0"/>
              <w:keepLines w:val="0"/>
              <w:widowControl/>
              <w:suppressLineNumbers w:val="0"/>
              <w:jc w:val="center"/>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监测位置/区域</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6A6F0">
            <w:pPr>
              <w:keepNext w:val="0"/>
              <w:keepLines w:val="0"/>
              <w:widowControl/>
              <w:suppressLineNumbers w:val="0"/>
              <w:jc w:val="center"/>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监测频率</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252A4">
            <w:pPr>
              <w:keepNext w:val="0"/>
              <w:keepLines w:val="0"/>
              <w:widowControl/>
              <w:suppressLineNumbers w:val="0"/>
              <w:jc w:val="center"/>
              <w:textAlignment w:val="center"/>
              <w:rPr>
                <w:rFonts w:hint="default" w:ascii="方正仿宋简体" w:hAnsi="方正仿宋简体" w:eastAsia="方正仿宋简体" w:cs="方正仿宋简体"/>
                <w:i w:val="0"/>
                <w:color w:val="auto"/>
                <w:kern w:val="0"/>
                <w:sz w:val="20"/>
                <w:szCs w:val="20"/>
                <w:u w:val="none"/>
                <w:lang w:val="en-US" w:eastAsia="zh-CN" w:bidi="ar"/>
              </w:rPr>
            </w:pPr>
            <w:r>
              <w:rPr>
                <w:rFonts w:hint="eastAsia" w:ascii="方正仿宋简体" w:hAnsi="方正仿宋简体" w:eastAsia="方正仿宋简体" w:cs="方正仿宋简体"/>
                <w:i w:val="0"/>
                <w:color w:val="auto"/>
                <w:kern w:val="0"/>
                <w:sz w:val="20"/>
                <w:szCs w:val="20"/>
                <w:u w:val="none"/>
                <w:lang w:val="en-US" w:eastAsia="zh-CN" w:bidi="ar"/>
              </w:rPr>
              <w:t>每次单价（元）</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01144">
            <w:pPr>
              <w:keepNext w:val="0"/>
              <w:keepLines w:val="0"/>
              <w:widowControl/>
              <w:suppressLineNumbers w:val="0"/>
              <w:jc w:val="center"/>
              <w:textAlignment w:val="center"/>
              <w:rPr>
                <w:rFonts w:hint="default" w:ascii="方正仿宋简体" w:hAnsi="方正仿宋简体" w:eastAsia="方正仿宋简体" w:cs="方正仿宋简体"/>
                <w:i w:val="0"/>
                <w:color w:val="auto"/>
                <w:kern w:val="0"/>
                <w:sz w:val="20"/>
                <w:szCs w:val="20"/>
                <w:u w:val="none"/>
                <w:lang w:val="en-US" w:eastAsia="zh-CN" w:bidi="ar"/>
              </w:rPr>
            </w:pPr>
            <w:r>
              <w:rPr>
                <w:rFonts w:hint="eastAsia" w:ascii="方正仿宋简体" w:hAnsi="方正仿宋简体" w:eastAsia="方正仿宋简体" w:cs="方正仿宋简体"/>
                <w:i w:val="0"/>
                <w:color w:val="auto"/>
                <w:kern w:val="0"/>
                <w:sz w:val="20"/>
                <w:szCs w:val="20"/>
                <w:u w:val="none"/>
                <w:lang w:val="en-US" w:eastAsia="zh-CN" w:bidi="ar"/>
              </w:rPr>
              <w:t>合计报价/元/年</w:t>
            </w:r>
          </w:p>
        </w:tc>
      </w:tr>
      <w:tr w14:paraId="59BAE3E4">
        <w:tblPrEx>
          <w:shd w:val="clear" w:color="auto" w:fill="auto"/>
          <w:tblCellMar>
            <w:top w:w="0" w:type="dxa"/>
            <w:left w:w="0" w:type="dxa"/>
            <w:bottom w:w="0" w:type="dxa"/>
            <w:right w:w="0" w:type="dxa"/>
          </w:tblCellMar>
        </w:tblPrEx>
        <w:trPr>
          <w:trHeight w:val="675" w:hRule="atLeast"/>
        </w:trPr>
        <w:tc>
          <w:tcPr>
            <w:tcW w:w="1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AC45B8B">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院感</w:t>
            </w: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90A3B">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物体表面（工作台面）菌落总数、医务人员手表面菌落总数、空气中细菌总数、医疗器械、使用中的消毒剂</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ACAF3">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各科室</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AC0AB">
            <w:pPr>
              <w:keepNext w:val="0"/>
              <w:keepLines w:val="0"/>
              <w:widowControl/>
              <w:suppressLineNumbers w:val="0"/>
              <w:jc w:val="left"/>
              <w:textAlignment w:val="center"/>
              <w:rPr>
                <w:rFonts w:hint="default" w:ascii="方正仿宋简体" w:hAnsi="方正仿宋简体" w:eastAsia="方正仿宋简体" w:cs="方正仿宋简体"/>
                <w:i w:val="0"/>
                <w:color w:val="auto"/>
                <w:sz w:val="20"/>
                <w:szCs w:val="20"/>
                <w:u w:val="none"/>
                <w:lang w:val="en-US"/>
              </w:rPr>
            </w:pPr>
            <w:r>
              <w:rPr>
                <w:rFonts w:hint="eastAsia" w:ascii="方正仿宋简体" w:hAnsi="方正仿宋简体" w:eastAsia="方正仿宋简体" w:cs="方正仿宋简体"/>
                <w:i w:val="0"/>
                <w:color w:val="auto"/>
                <w:kern w:val="0"/>
                <w:sz w:val="20"/>
                <w:szCs w:val="20"/>
                <w:u w:val="none"/>
                <w:lang w:val="en-US" w:eastAsia="zh-CN" w:bidi="ar"/>
              </w:rPr>
              <w:t>每季度一次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E669B">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73E9E">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34A6FCB8">
        <w:tblPrEx>
          <w:shd w:val="clear" w:color="auto" w:fill="auto"/>
          <w:tblCellMar>
            <w:top w:w="0" w:type="dxa"/>
            <w:left w:w="0" w:type="dxa"/>
            <w:bottom w:w="0" w:type="dxa"/>
            <w:right w:w="0" w:type="dxa"/>
          </w:tblCellMar>
        </w:tblPrEx>
        <w:trPr>
          <w:trHeight w:val="675" w:hRule="atLeast"/>
        </w:trPr>
        <w:tc>
          <w:tcPr>
            <w:tcW w:w="1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5A646FF">
            <w:pPr>
              <w:keepNext w:val="0"/>
              <w:keepLines w:val="0"/>
              <w:widowControl/>
              <w:suppressLineNumbers w:val="0"/>
              <w:jc w:val="left"/>
              <w:textAlignment w:val="center"/>
              <w:rPr>
                <w:rFonts w:hint="default" w:ascii="方正仿宋简体" w:hAnsi="方正仿宋简体" w:eastAsia="方正仿宋简体" w:cs="方正仿宋简体"/>
                <w:i w:val="0"/>
                <w:color w:val="auto"/>
                <w:kern w:val="0"/>
                <w:sz w:val="20"/>
                <w:szCs w:val="20"/>
                <w:u w:val="none"/>
                <w:lang w:val="en-US" w:eastAsia="zh-CN" w:bidi="ar"/>
              </w:rPr>
            </w:pPr>
            <w:r>
              <w:rPr>
                <w:rFonts w:hint="eastAsia" w:ascii="方正仿宋简体" w:hAnsi="方正仿宋简体" w:eastAsia="方正仿宋简体" w:cs="方正仿宋简体"/>
                <w:i w:val="0"/>
                <w:color w:val="auto"/>
                <w:kern w:val="0"/>
                <w:sz w:val="20"/>
                <w:szCs w:val="20"/>
                <w:u w:val="none"/>
                <w:lang w:val="en-US" w:eastAsia="zh-CN" w:bidi="ar"/>
              </w:rPr>
              <w:t>口腔科</w:t>
            </w: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8A0CB">
            <w:pPr>
              <w:keepNext w:val="0"/>
              <w:keepLines w:val="0"/>
              <w:widowControl/>
              <w:suppressLineNumbers w:val="0"/>
              <w:jc w:val="left"/>
              <w:textAlignment w:val="center"/>
              <w:rPr>
                <w:rFonts w:hint="default" w:ascii="方正仿宋简体" w:hAnsi="方正仿宋简体" w:eastAsia="方正仿宋简体" w:cs="方正仿宋简体"/>
                <w:i w:val="0"/>
                <w:color w:val="auto"/>
                <w:kern w:val="0"/>
                <w:sz w:val="20"/>
                <w:szCs w:val="20"/>
                <w:u w:val="none"/>
                <w:lang w:val="en-US" w:eastAsia="zh-CN" w:bidi="ar"/>
              </w:rPr>
            </w:pPr>
            <w:r>
              <w:rPr>
                <w:rFonts w:hint="eastAsia" w:ascii="方正仿宋简体" w:hAnsi="方正仿宋简体" w:eastAsia="方正仿宋简体" w:cs="方正仿宋简体"/>
                <w:i w:val="0"/>
                <w:color w:val="auto"/>
                <w:kern w:val="0"/>
                <w:sz w:val="20"/>
                <w:szCs w:val="20"/>
                <w:u w:val="none"/>
                <w:lang w:val="en-US" w:eastAsia="zh-CN" w:bidi="ar"/>
              </w:rPr>
              <w:t>物体表面（工作台面）菌落总数、医务人员手表面菌落总数、空气中细菌总数、使用中的消毒剂、水路、充填器和口腔模型</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77B14">
            <w:pPr>
              <w:keepNext w:val="0"/>
              <w:keepLines w:val="0"/>
              <w:widowControl/>
              <w:suppressLineNumbers w:val="0"/>
              <w:jc w:val="left"/>
              <w:textAlignment w:val="center"/>
              <w:rPr>
                <w:rFonts w:hint="default" w:ascii="方正仿宋简体" w:hAnsi="方正仿宋简体" w:eastAsia="方正仿宋简体" w:cs="方正仿宋简体"/>
                <w:i w:val="0"/>
                <w:color w:val="auto"/>
                <w:kern w:val="0"/>
                <w:sz w:val="20"/>
                <w:szCs w:val="20"/>
                <w:u w:val="none"/>
                <w:lang w:val="en-US" w:eastAsia="zh-CN" w:bidi="ar"/>
              </w:rPr>
            </w:pPr>
            <w:r>
              <w:rPr>
                <w:rFonts w:hint="eastAsia" w:ascii="方正仿宋简体" w:hAnsi="方正仿宋简体" w:eastAsia="方正仿宋简体" w:cs="方正仿宋简体"/>
                <w:i w:val="0"/>
                <w:color w:val="auto"/>
                <w:kern w:val="0"/>
                <w:sz w:val="20"/>
                <w:szCs w:val="20"/>
                <w:u w:val="none"/>
                <w:lang w:val="en-US" w:eastAsia="zh-CN" w:bidi="ar"/>
              </w:rPr>
              <w:t>口腔科</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839E2">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r>
              <w:rPr>
                <w:rFonts w:hint="eastAsia" w:ascii="方正仿宋简体" w:hAnsi="方正仿宋简体" w:eastAsia="方正仿宋简体" w:cs="方正仿宋简体"/>
                <w:i w:val="0"/>
                <w:color w:val="auto"/>
                <w:kern w:val="0"/>
                <w:sz w:val="20"/>
                <w:szCs w:val="20"/>
                <w:u w:val="none"/>
                <w:lang w:val="en-US" w:eastAsia="zh-CN" w:bidi="ar"/>
              </w:rPr>
              <w:t>每季度一次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B4403">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4E838">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38A80F25">
        <w:tblPrEx>
          <w:shd w:val="clear" w:color="auto" w:fill="auto"/>
          <w:tblCellMar>
            <w:top w:w="0" w:type="dxa"/>
            <w:left w:w="0" w:type="dxa"/>
            <w:bottom w:w="0" w:type="dxa"/>
            <w:right w:w="0" w:type="dxa"/>
          </w:tblCellMar>
        </w:tblPrEx>
        <w:trPr>
          <w:trHeight w:val="675" w:hRule="atLeast"/>
        </w:trPr>
        <w:tc>
          <w:tcPr>
            <w:tcW w:w="1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D5DD9FB">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内镜室</w:t>
            </w: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0F3D6">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 xml:space="preserve">滤膜过滤浓缩法监测+洗脱液细菌培养 </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9BA0D">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内镜</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02480">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每季度一次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9B5E5">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D1DA0">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43CB9E53">
        <w:tblPrEx>
          <w:shd w:val="clear" w:color="auto" w:fill="auto"/>
          <w:tblCellMar>
            <w:top w:w="0" w:type="dxa"/>
            <w:left w:w="0" w:type="dxa"/>
            <w:bottom w:w="0" w:type="dxa"/>
            <w:right w:w="0" w:type="dxa"/>
          </w:tblCellMar>
        </w:tblPrEx>
        <w:trPr>
          <w:trHeight w:val="675" w:hRule="atLeast"/>
        </w:trPr>
        <w:tc>
          <w:tcPr>
            <w:tcW w:w="1055" w:type="dxa"/>
            <w:vMerge w:val="restart"/>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14:paraId="60422FC9">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手术室</w:t>
            </w:r>
          </w:p>
        </w:tc>
        <w:tc>
          <w:tcPr>
            <w:tcW w:w="4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CB49B">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空气洁净度、温度、相对湿度、照度、噪声、风速风量、静压差、换气次数、细菌浓度、悬浮粒子</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7AFBA">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百级</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2D989">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每季度一次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B4422">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8340F">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6309F026">
        <w:tblPrEx>
          <w:shd w:val="clear" w:color="auto" w:fill="auto"/>
          <w:tblCellMar>
            <w:top w:w="0" w:type="dxa"/>
            <w:left w:w="0" w:type="dxa"/>
            <w:bottom w:w="0" w:type="dxa"/>
            <w:right w:w="0" w:type="dxa"/>
          </w:tblCellMar>
        </w:tblPrEx>
        <w:trPr>
          <w:trHeight w:val="675" w:hRule="atLeast"/>
        </w:trPr>
        <w:tc>
          <w:tcPr>
            <w:tcW w:w="1055" w:type="dxa"/>
            <w:vMerge w:val="continue"/>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14:paraId="38F086B5">
            <w:pPr>
              <w:rPr>
                <w:rFonts w:hint="eastAsia" w:ascii="方正仿宋简体" w:hAnsi="方正仿宋简体" w:eastAsia="方正仿宋简体" w:cs="方正仿宋简体"/>
                <w:i w:val="0"/>
                <w:color w:val="auto"/>
                <w:sz w:val="20"/>
                <w:szCs w:val="20"/>
                <w:u w:val="none"/>
              </w:rPr>
            </w:pP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0E1C0">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空气洁净度、温度、相对湿度、照度、噪声、风速风量、静压差、换气次数、细菌浓度、悬浮粒子、沉降菌</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5A90A">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万级</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4C3B7">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每季度一次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3019A">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E3EE5">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170D1098">
        <w:tblPrEx>
          <w:shd w:val="clear" w:color="auto" w:fill="auto"/>
          <w:tblCellMar>
            <w:top w:w="0" w:type="dxa"/>
            <w:left w:w="0" w:type="dxa"/>
            <w:bottom w:w="0" w:type="dxa"/>
            <w:right w:w="0" w:type="dxa"/>
          </w:tblCellMar>
        </w:tblPrEx>
        <w:trPr>
          <w:trHeight w:val="675" w:hRule="atLeast"/>
        </w:trPr>
        <w:tc>
          <w:tcPr>
            <w:tcW w:w="1055" w:type="dxa"/>
            <w:vMerge w:val="continue"/>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14:paraId="034370C2">
            <w:pPr>
              <w:rPr>
                <w:rFonts w:hint="eastAsia" w:ascii="方正仿宋简体" w:hAnsi="方正仿宋简体" w:eastAsia="方正仿宋简体" w:cs="方正仿宋简体"/>
                <w:i w:val="0"/>
                <w:color w:val="auto"/>
                <w:sz w:val="20"/>
                <w:szCs w:val="20"/>
                <w:u w:val="none"/>
              </w:rPr>
            </w:pP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C032F">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空气洁净度、温度、相对湿度、照度、噪声、风速风量、静压差、换气次数、细菌浓度、悬浮粒子、沉降菌</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04891">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百级前室</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4D454">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每季度一次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C42E6">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AF6BB">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5E4663E3">
        <w:tblPrEx>
          <w:tblCellMar>
            <w:top w:w="0" w:type="dxa"/>
            <w:left w:w="0" w:type="dxa"/>
            <w:bottom w:w="0" w:type="dxa"/>
            <w:right w:w="0" w:type="dxa"/>
          </w:tblCellMar>
        </w:tblPrEx>
        <w:trPr>
          <w:trHeight w:val="675" w:hRule="atLeast"/>
        </w:trPr>
        <w:tc>
          <w:tcPr>
            <w:tcW w:w="1055" w:type="dxa"/>
            <w:vMerge w:val="continue"/>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14:paraId="1B5DF135">
            <w:pPr>
              <w:rPr>
                <w:rFonts w:hint="eastAsia" w:ascii="方正仿宋简体" w:hAnsi="方正仿宋简体" w:eastAsia="方正仿宋简体" w:cs="方正仿宋简体"/>
                <w:i w:val="0"/>
                <w:color w:val="auto"/>
                <w:sz w:val="20"/>
                <w:szCs w:val="20"/>
                <w:u w:val="none"/>
              </w:rPr>
            </w:pP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6AB27">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空气洁净度、温度、相对湿度、照度、噪声、风速风量、静压差、换气次数、细菌浓度、悬浮粒子、沉降菌</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8C4E3">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C臂间、控制室</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2B6D6">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每季度一次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42E25">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91A75">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0EDF9BC3">
        <w:tblPrEx>
          <w:tblCellMar>
            <w:top w:w="0" w:type="dxa"/>
            <w:left w:w="0" w:type="dxa"/>
            <w:bottom w:w="0" w:type="dxa"/>
            <w:right w:w="0" w:type="dxa"/>
          </w:tblCellMar>
        </w:tblPrEx>
        <w:trPr>
          <w:trHeight w:val="675" w:hRule="atLeast"/>
        </w:trPr>
        <w:tc>
          <w:tcPr>
            <w:tcW w:w="1055" w:type="dxa"/>
            <w:vMerge w:val="continue"/>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14:paraId="7D7F008D">
            <w:pPr>
              <w:rPr>
                <w:rFonts w:hint="eastAsia" w:ascii="方正仿宋简体" w:hAnsi="方正仿宋简体" w:eastAsia="方正仿宋简体" w:cs="方正仿宋简体"/>
                <w:i w:val="0"/>
                <w:color w:val="auto"/>
                <w:sz w:val="20"/>
                <w:szCs w:val="20"/>
                <w:u w:val="none"/>
              </w:rPr>
            </w:pP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2E295">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空气洁净度、温度、相对湿度、照度、噪声、风速风量、静压差、换气次数、细菌浓度、悬浮粒子、沉降菌</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841F6">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无菌库</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F2CFC">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每季度一次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3E6CD">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57871">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534E1228">
        <w:tblPrEx>
          <w:shd w:val="clear" w:color="auto" w:fill="auto"/>
          <w:tblCellMar>
            <w:top w:w="0" w:type="dxa"/>
            <w:left w:w="0" w:type="dxa"/>
            <w:bottom w:w="0" w:type="dxa"/>
            <w:right w:w="0" w:type="dxa"/>
          </w:tblCellMar>
        </w:tblPrEx>
        <w:trPr>
          <w:trHeight w:val="675" w:hRule="atLeast"/>
        </w:trPr>
        <w:tc>
          <w:tcPr>
            <w:tcW w:w="1055" w:type="dxa"/>
            <w:vMerge w:val="continue"/>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14:paraId="429FD135">
            <w:pPr>
              <w:rPr>
                <w:rFonts w:hint="eastAsia" w:ascii="方正仿宋简体" w:hAnsi="方正仿宋简体" w:eastAsia="方正仿宋简体" w:cs="方正仿宋简体"/>
                <w:i w:val="0"/>
                <w:color w:val="auto"/>
                <w:sz w:val="20"/>
                <w:szCs w:val="20"/>
                <w:u w:val="none"/>
              </w:rPr>
            </w:pP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A6701">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空气洁净度、温度、相对湿度、照度、噪声、风速风量、静压差、换气次数、细菌浓度、悬浮粒子、沉降菌</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9B7FA">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清洁走廊</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8C2CB">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每季度一次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B5F71">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68D36">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4E5AD729">
        <w:tblPrEx>
          <w:tblCellMar>
            <w:top w:w="0" w:type="dxa"/>
            <w:left w:w="0" w:type="dxa"/>
            <w:bottom w:w="0" w:type="dxa"/>
            <w:right w:w="0" w:type="dxa"/>
          </w:tblCellMar>
        </w:tblPrEx>
        <w:trPr>
          <w:trHeight w:val="675" w:hRule="atLeast"/>
        </w:trPr>
        <w:tc>
          <w:tcPr>
            <w:tcW w:w="1055" w:type="dxa"/>
            <w:vMerge w:val="continue"/>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14:paraId="73D6582C">
            <w:pPr>
              <w:rPr>
                <w:rFonts w:hint="eastAsia" w:ascii="方正仿宋简体" w:hAnsi="方正仿宋简体" w:eastAsia="方正仿宋简体" w:cs="方正仿宋简体"/>
                <w:i w:val="0"/>
                <w:color w:val="auto"/>
                <w:sz w:val="20"/>
                <w:szCs w:val="20"/>
                <w:u w:val="none"/>
              </w:rPr>
            </w:pP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10BAE">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空气洁净度、温度、相对湿度、照度、噪声、风速风量、静压差、换气次数、细菌浓度、悬浮粒子、沉降菌</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0E691">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麻醉复苏室</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3DA12">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每季度一次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3838F">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DFA94">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1B7A1FF3">
        <w:tblPrEx>
          <w:shd w:val="clear" w:color="auto" w:fill="auto"/>
          <w:tblCellMar>
            <w:top w:w="0" w:type="dxa"/>
            <w:left w:w="0" w:type="dxa"/>
            <w:bottom w:w="0" w:type="dxa"/>
            <w:right w:w="0" w:type="dxa"/>
          </w:tblCellMar>
        </w:tblPrEx>
        <w:trPr>
          <w:trHeight w:val="675" w:hRule="atLeast"/>
        </w:trPr>
        <w:tc>
          <w:tcPr>
            <w:tcW w:w="1055" w:type="dxa"/>
            <w:vMerge w:val="continue"/>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14:paraId="66F05232">
            <w:pPr>
              <w:rPr>
                <w:rFonts w:hint="eastAsia" w:ascii="方正仿宋简体" w:hAnsi="方正仿宋简体" w:eastAsia="方正仿宋简体" w:cs="方正仿宋简体"/>
                <w:i w:val="0"/>
                <w:color w:val="auto"/>
                <w:sz w:val="20"/>
                <w:szCs w:val="20"/>
                <w:u w:val="none"/>
              </w:rPr>
            </w:pP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1D27D">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物体表面（治疗车台面、物品柜、手术床面）</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4A7C0">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百级万级</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AB03E">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每季度一次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3C71E">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C09B9">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6D9CF150">
        <w:tblPrEx>
          <w:shd w:val="clear" w:color="auto" w:fill="auto"/>
          <w:tblCellMar>
            <w:top w:w="0" w:type="dxa"/>
            <w:left w:w="0" w:type="dxa"/>
            <w:bottom w:w="0" w:type="dxa"/>
            <w:right w:w="0" w:type="dxa"/>
          </w:tblCellMar>
        </w:tblPrEx>
        <w:trPr>
          <w:trHeight w:val="675" w:hRule="atLeast"/>
        </w:trPr>
        <w:tc>
          <w:tcPr>
            <w:tcW w:w="1055" w:type="dxa"/>
            <w:vMerge w:val="continue"/>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14:paraId="601B8F7F">
            <w:pPr>
              <w:rPr>
                <w:rFonts w:hint="eastAsia" w:ascii="方正仿宋简体" w:hAnsi="方正仿宋简体" w:eastAsia="方正仿宋简体" w:cs="方正仿宋简体"/>
                <w:i w:val="0"/>
                <w:color w:val="auto"/>
                <w:sz w:val="20"/>
                <w:szCs w:val="20"/>
                <w:u w:val="none"/>
              </w:rPr>
            </w:pP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0770A">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医务人员手表面菌落总数、使用中的消毒剂、器械</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8CFC2">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手术室</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57741">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每季度一次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CCC7C">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E9C74">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7A680C32">
        <w:tblPrEx>
          <w:shd w:val="clear" w:color="auto" w:fill="auto"/>
          <w:tblCellMar>
            <w:top w:w="0" w:type="dxa"/>
            <w:left w:w="0" w:type="dxa"/>
            <w:bottom w:w="0" w:type="dxa"/>
            <w:right w:w="0" w:type="dxa"/>
          </w:tblCellMar>
        </w:tblPrEx>
        <w:trPr>
          <w:trHeight w:val="660" w:hRule="atLeast"/>
        </w:trPr>
        <w:tc>
          <w:tcPr>
            <w:tcW w:w="1055"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2EAF17D8">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血透室</w:t>
            </w:r>
          </w:p>
        </w:tc>
        <w:tc>
          <w:tcPr>
            <w:tcW w:w="4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965B5">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透析液、透析用水、空气、物表、手卫生、使用中的消毒液，菌落总数、电解质</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921C2">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血透室</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62B58">
            <w:pPr>
              <w:keepNext w:val="0"/>
              <w:keepLines w:val="0"/>
              <w:widowControl/>
              <w:suppressLineNumbers w:val="0"/>
              <w:jc w:val="left"/>
              <w:textAlignment w:val="center"/>
              <w:rPr>
                <w:rFonts w:hint="default" w:ascii="方正仿宋简体" w:hAnsi="方正仿宋简体" w:eastAsia="方正仿宋简体" w:cs="方正仿宋简体"/>
                <w:i w:val="0"/>
                <w:color w:val="auto"/>
                <w:sz w:val="20"/>
                <w:szCs w:val="20"/>
                <w:u w:val="none"/>
                <w:lang w:val="en-US"/>
              </w:rPr>
            </w:pPr>
            <w:r>
              <w:rPr>
                <w:rFonts w:hint="eastAsia" w:ascii="方正仿宋简体" w:hAnsi="方正仿宋简体" w:eastAsia="方正仿宋简体" w:cs="方正仿宋简体"/>
                <w:i w:val="0"/>
                <w:color w:val="auto"/>
                <w:kern w:val="0"/>
                <w:sz w:val="20"/>
                <w:szCs w:val="20"/>
                <w:u w:val="none"/>
                <w:lang w:val="en-US" w:eastAsia="zh-CN" w:bidi="ar"/>
              </w:rPr>
              <w:t>每月一次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1E76B">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8110E">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6B5D039F">
        <w:tblPrEx>
          <w:shd w:val="clear" w:color="auto" w:fill="auto"/>
          <w:tblCellMar>
            <w:top w:w="0" w:type="dxa"/>
            <w:left w:w="0" w:type="dxa"/>
            <w:bottom w:w="0" w:type="dxa"/>
            <w:right w:w="0" w:type="dxa"/>
          </w:tblCellMar>
        </w:tblPrEx>
        <w:trPr>
          <w:trHeight w:val="435" w:hRule="atLeast"/>
        </w:trPr>
        <w:tc>
          <w:tcPr>
            <w:tcW w:w="105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506EAD9E">
            <w:pPr>
              <w:rPr>
                <w:rFonts w:hint="eastAsia" w:ascii="方正仿宋简体" w:hAnsi="方正仿宋简体" w:eastAsia="方正仿宋简体" w:cs="方正仿宋简体"/>
                <w:i w:val="0"/>
                <w:color w:val="auto"/>
                <w:sz w:val="20"/>
                <w:szCs w:val="20"/>
                <w:u w:val="none"/>
              </w:rPr>
            </w:pP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15718">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内毒素监测</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BB8A1">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血透室</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5EDC9">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每季度一次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8356A">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63EE8">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5A605F97">
        <w:tblPrEx>
          <w:tblCellMar>
            <w:top w:w="0" w:type="dxa"/>
            <w:left w:w="0" w:type="dxa"/>
            <w:bottom w:w="0" w:type="dxa"/>
            <w:right w:w="0" w:type="dxa"/>
          </w:tblCellMar>
        </w:tblPrEx>
        <w:trPr>
          <w:trHeight w:val="450" w:hRule="atLeast"/>
        </w:trPr>
        <w:tc>
          <w:tcPr>
            <w:tcW w:w="105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3E60C1F7">
            <w:pPr>
              <w:rPr>
                <w:rFonts w:hint="eastAsia" w:ascii="方正仿宋简体" w:hAnsi="方正仿宋简体" w:eastAsia="方正仿宋简体" w:cs="方正仿宋简体"/>
                <w:i w:val="0"/>
                <w:color w:val="auto"/>
                <w:sz w:val="20"/>
                <w:szCs w:val="20"/>
                <w:u w:val="none"/>
              </w:rPr>
            </w:pP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4F74E">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化学污染物监测</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0548E">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血透室</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E0168">
            <w:pPr>
              <w:keepNext w:val="0"/>
              <w:keepLines w:val="0"/>
              <w:widowControl/>
              <w:suppressLineNumbers w:val="0"/>
              <w:jc w:val="left"/>
              <w:textAlignment w:val="center"/>
              <w:rPr>
                <w:rFonts w:hint="default" w:ascii="方正仿宋简体" w:hAnsi="方正仿宋简体" w:eastAsia="方正仿宋简体" w:cs="方正仿宋简体"/>
                <w:i w:val="0"/>
                <w:color w:val="auto"/>
                <w:sz w:val="20"/>
                <w:szCs w:val="20"/>
                <w:u w:val="none"/>
                <w:lang w:val="en-US"/>
              </w:rPr>
            </w:pPr>
            <w:r>
              <w:rPr>
                <w:rFonts w:hint="eastAsia" w:ascii="方正仿宋简体" w:hAnsi="方正仿宋简体" w:eastAsia="方正仿宋简体" w:cs="方正仿宋简体"/>
                <w:i w:val="0"/>
                <w:color w:val="auto"/>
                <w:kern w:val="0"/>
                <w:sz w:val="20"/>
                <w:szCs w:val="20"/>
                <w:u w:val="none"/>
                <w:lang w:val="en-US" w:eastAsia="zh-CN" w:bidi="ar"/>
              </w:rPr>
              <w:t>每年一次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2E2AD">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407AC">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767C9E5A">
        <w:tblPrEx>
          <w:shd w:val="clear" w:color="auto" w:fill="auto"/>
          <w:tblCellMar>
            <w:top w:w="0" w:type="dxa"/>
            <w:left w:w="0" w:type="dxa"/>
            <w:bottom w:w="0" w:type="dxa"/>
            <w:right w:w="0" w:type="dxa"/>
          </w:tblCellMar>
        </w:tblPrEx>
        <w:trPr>
          <w:trHeight w:val="675"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5ECF5">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医院污水</w:t>
            </w:r>
          </w:p>
        </w:tc>
        <w:tc>
          <w:tcPr>
            <w:tcW w:w="4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6EA88">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PH、色度、悬浮物、化学需氧量、五日生化需氧量、氨氮、总氯、总氰化物、挥发酚、阴离子表面活性剂、石油类、动植物油、汞、粪大肠菌群、沙门氏菌、志贺氏菌</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FBEB7">
            <w:pPr>
              <w:rPr>
                <w:rFonts w:hint="eastAsia" w:ascii="方正仿宋简体" w:hAnsi="方正仿宋简体" w:eastAsia="方正仿宋简体" w:cs="方正仿宋简体"/>
                <w:i w:val="0"/>
                <w:color w:val="auto"/>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99B63">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每季度一次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1F9D3">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66635">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09D61D40">
        <w:tblPrEx>
          <w:shd w:val="clear" w:color="auto" w:fill="auto"/>
          <w:tblCellMar>
            <w:top w:w="0" w:type="dxa"/>
            <w:left w:w="0" w:type="dxa"/>
            <w:bottom w:w="0" w:type="dxa"/>
            <w:right w:w="0" w:type="dxa"/>
          </w:tblCellMar>
        </w:tblPrEx>
        <w:trPr>
          <w:trHeight w:val="675"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012E6">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候诊大厅</w:t>
            </w: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2A79B">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苯、甲苯、二甲苯、氨</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A2017">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大厅</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BE210">
            <w:pPr>
              <w:keepNext w:val="0"/>
              <w:keepLines w:val="0"/>
              <w:widowControl/>
              <w:suppressLineNumbers w:val="0"/>
              <w:jc w:val="left"/>
              <w:textAlignment w:val="center"/>
              <w:rPr>
                <w:rFonts w:hint="default" w:ascii="方正仿宋简体" w:hAnsi="方正仿宋简体" w:eastAsia="方正仿宋简体" w:cs="方正仿宋简体"/>
                <w:i w:val="0"/>
                <w:color w:val="auto"/>
                <w:sz w:val="20"/>
                <w:szCs w:val="20"/>
                <w:u w:val="none"/>
                <w:lang w:val="en-US"/>
              </w:rPr>
            </w:pPr>
            <w:r>
              <w:rPr>
                <w:rFonts w:hint="eastAsia" w:ascii="方正仿宋简体" w:hAnsi="方正仿宋简体" w:eastAsia="方正仿宋简体" w:cs="方正仿宋简体"/>
                <w:i w:val="0"/>
                <w:color w:val="auto"/>
                <w:kern w:val="0"/>
                <w:sz w:val="20"/>
                <w:szCs w:val="20"/>
                <w:u w:val="none"/>
                <w:lang w:val="en-US" w:eastAsia="zh-CN" w:bidi="ar"/>
              </w:rPr>
              <w:t>每年一次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40B27">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BDA5E">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02259C0D">
        <w:tblPrEx>
          <w:shd w:val="clear" w:color="auto" w:fill="auto"/>
          <w:tblCellMar>
            <w:top w:w="0" w:type="dxa"/>
            <w:left w:w="0" w:type="dxa"/>
            <w:bottom w:w="0" w:type="dxa"/>
            <w:right w:w="0" w:type="dxa"/>
          </w:tblCellMar>
        </w:tblPrEx>
        <w:trPr>
          <w:trHeight w:val="675"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475F0">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集中空调</w:t>
            </w:r>
          </w:p>
        </w:tc>
        <w:tc>
          <w:tcPr>
            <w:tcW w:w="4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2BFC5">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送风中细菌总数、送风中真菌总数、送风中PM10、送风中B-溶血性链球菌、风管内积尘量、风管内细菌总数、风管内真菌总数</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F581A">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中央空调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0145D">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每季度一次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14232">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10C68">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25C8EAA2">
        <w:tblPrEx>
          <w:shd w:val="clear" w:color="auto" w:fill="auto"/>
          <w:tblCellMar>
            <w:top w:w="0" w:type="dxa"/>
            <w:left w:w="0" w:type="dxa"/>
            <w:bottom w:w="0" w:type="dxa"/>
            <w:right w:w="0" w:type="dxa"/>
          </w:tblCellMar>
        </w:tblPrEx>
        <w:trPr>
          <w:trHeight w:val="675"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13EED">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污水处理站废气</w:t>
            </w: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39CFF">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硫化氢、氨、臭气浓度</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11B24">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污水处理站</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C5551">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每季度一次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0C54F">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564FC">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6F22006D">
        <w:tblPrEx>
          <w:shd w:val="clear" w:color="auto" w:fill="auto"/>
          <w:tblCellMar>
            <w:top w:w="0" w:type="dxa"/>
            <w:left w:w="0" w:type="dxa"/>
            <w:bottom w:w="0" w:type="dxa"/>
            <w:right w:w="0" w:type="dxa"/>
          </w:tblCellMar>
        </w:tblPrEx>
        <w:trPr>
          <w:trHeight w:val="675" w:hRule="atLeast"/>
        </w:trPr>
        <w:tc>
          <w:tcPr>
            <w:tcW w:w="105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708CDF8">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饮食业油烟</w:t>
            </w:r>
          </w:p>
        </w:tc>
        <w:tc>
          <w:tcPr>
            <w:tcW w:w="401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33BF250">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油烟</w:t>
            </w:r>
          </w:p>
        </w:tc>
        <w:tc>
          <w:tcPr>
            <w:tcW w:w="1121"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842755F">
            <w:pPr>
              <w:rPr>
                <w:rFonts w:hint="eastAsia" w:ascii="方正仿宋简体" w:hAnsi="方正仿宋简体" w:eastAsia="方正仿宋简体" w:cs="方正仿宋简体"/>
                <w:i w:val="0"/>
                <w:color w:val="auto"/>
                <w:sz w:val="20"/>
                <w:szCs w:val="20"/>
                <w:u w:val="none"/>
              </w:rPr>
            </w:pPr>
          </w:p>
        </w:tc>
        <w:tc>
          <w:tcPr>
            <w:tcW w:w="862"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97F71DD">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每季度一次</w:t>
            </w:r>
          </w:p>
        </w:tc>
        <w:tc>
          <w:tcPr>
            <w:tcW w:w="854"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770B4BE2">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7897FA50">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110302FE">
        <w:tblPrEx>
          <w:tblCellMar>
            <w:top w:w="0" w:type="dxa"/>
            <w:left w:w="0" w:type="dxa"/>
            <w:bottom w:w="0" w:type="dxa"/>
            <w:right w:w="0" w:type="dxa"/>
          </w:tblCellMar>
        </w:tblPrEx>
        <w:trPr>
          <w:trHeight w:val="315" w:hRule="atLeast"/>
        </w:trPr>
        <w:tc>
          <w:tcPr>
            <w:tcW w:w="105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75B54F1">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血库</w:t>
            </w:r>
          </w:p>
        </w:tc>
        <w:tc>
          <w:tcPr>
            <w:tcW w:w="401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7CB85C7">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空气培养菌落总数、物体表面（台面）菌落总数、工作人员手表面（卫生手）菌落总数</w:t>
            </w:r>
          </w:p>
        </w:tc>
        <w:tc>
          <w:tcPr>
            <w:tcW w:w="112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E368986">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1、合血室、储血室、发血室、储血冰箱；</w:t>
            </w:r>
            <w:r>
              <w:rPr>
                <w:rFonts w:hint="eastAsia" w:ascii="方正仿宋简体" w:hAnsi="方正仿宋简体" w:eastAsia="方正仿宋简体" w:cs="方正仿宋简体"/>
                <w:i w:val="0"/>
                <w:color w:val="auto"/>
                <w:kern w:val="0"/>
                <w:sz w:val="20"/>
                <w:szCs w:val="20"/>
                <w:u w:val="none"/>
                <w:lang w:val="en-US" w:eastAsia="zh-CN" w:bidi="ar"/>
              </w:rPr>
              <w:br w:type="textWrapping"/>
            </w:r>
            <w:r>
              <w:rPr>
                <w:rFonts w:hint="eastAsia" w:ascii="方正仿宋简体" w:hAnsi="方正仿宋简体" w:eastAsia="方正仿宋简体" w:cs="方正仿宋简体"/>
                <w:i w:val="0"/>
                <w:color w:val="auto"/>
                <w:kern w:val="0"/>
                <w:sz w:val="20"/>
                <w:szCs w:val="20"/>
                <w:u w:val="none"/>
                <w:lang w:val="en-US" w:eastAsia="zh-CN" w:bidi="ar"/>
              </w:rPr>
              <w:t>2、转运箱内壁、合血室操作台面；</w:t>
            </w:r>
            <w:r>
              <w:rPr>
                <w:rFonts w:hint="eastAsia" w:ascii="方正仿宋简体" w:hAnsi="方正仿宋简体" w:eastAsia="方正仿宋简体" w:cs="方正仿宋简体"/>
                <w:i w:val="0"/>
                <w:color w:val="auto"/>
                <w:kern w:val="0"/>
                <w:sz w:val="20"/>
                <w:szCs w:val="20"/>
                <w:u w:val="none"/>
                <w:lang w:val="en-US" w:eastAsia="zh-CN" w:bidi="ar"/>
              </w:rPr>
              <w:br w:type="textWrapping"/>
            </w:r>
            <w:r>
              <w:rPr>
                <w:rFonts w:hint="eastAsia" w:ascii="方正仿宋简体" w:hAnsi="方正仿宋简体" w:eastAsia="方正仿宋简体" w:cs="方正仿宋简体"/>
                <w:i w:val="0"/>
                <w:color w:val="auto"/>
                <w:kern w:val="0"/>
                <w:sz w:val="20"/>
                <w:szCs w:val="20"/>
                <w:u w:val="none"/>
                <w:lang w:val="en-US" w:eastAsia="zh-CN" w:bidi="ar"/>
              </w:rPr>
              <w:t>3、工作人员手表面。</w:t>
            </w:r>
          </w:p>
        </w:tc>
        <w:tc>
          <w:tcPr>
            <w:tcW w:w="862"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58B271D1">
            <w:pPr>
              <w:keepNext w:val="0"/>
              <w:keepLines w:val="0"/>
              <w:widowControl/>
              <w:suppressLineNumbers w:val="0"/>
              <w:jc w:val="left"/>
              <w:textAlignment w:val="center"/>
              <w:rPr>
                <w:rFonts w:hint="default" w:ascii="方正仿宋简体" w:hAnsi="方正仿宋简体" w:eastAsia="方正仿宋简体" w:cs="方正仿宋简体"/>
                <w:i w:val="0"/>
                <w:color w:val="auto"/>
                <w:sz w:val="20"/>
                <w:szCs w:val="20"/>
                <w:u w:val="none"/>
                <w:lang w:val="en-US"/>
              </w:rPr>
            </w:pPr>
            <w:r>
              <w:rPr>
                <w:rFonts w:hint="eastAsia" w:ascii="方正仿宋简体" w:hAnsi="方正仿宋简体" w:eastAsia="方正仿宋简体" w:cs="方正仿宋简体"/>
                <w:i w:val="0"/>
                <w:color w:val="auto"/>
                <w:kern w:val="0"/>
                <w:sz w:val="20"/>
                <w:szCs w:val="20"/>
                <w:u w:val="none"/>
                <w:lang w:val="en-US" w:eastAsia="zh-CN" w:bidi="ar"/>
              </w:rPr>
              <w:t>每月一次</w:t>
            </w:r>
          </w:p>
        </w:tc>
        <w:tc>
          <w:tcPr>
            <w:tcW w:w="854"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DE9C518">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11C27A9">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44AD4039">
        <w:tblPrEx>
          <w:shd w:val="clear" w:color="auto" w:fill="auto"/>
          <w:tblCellMar>
            <w:top w:w="0" w:type="dxa"/>
            <w:left w:w="0" w:type="dxa"/>
            <w:bottom w:w="0" w:type="dxa"/>
            <w:right w:w="0" w:type="dxa"/>
          </w:tblCellMar>
        </w:tblPrEx>
        <w:trPr>
          <w:trHeight w:val="675" w:hRule="atLeast"/>
        </w:trPr>
        <w:tc>
          <w:tcPr>
            <w:tcW w:w="105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7A835D86">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工业企业厂界环境噪声</w:t>
            </w:r>
          </w:p>
        </w:tc>
        <w:tc>
          <w:tcPr>
            <w:tcW w:w="401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AD71CFA">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噪声</w:t>
            </w:r>
          </w:p>
        </w:tc>
        <w:tc>
          <w:tcPr>
            <w:tcW w:w="1121"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5AA9A620">
            <w:pPr>
              <w:rPr>
                <w:rFonts w:hint="eastAsia" w:ascii="方正仿宋简体" w:hAnsi="方正仿宋简体" w:eastAsia="方正仿宋简体" w:cs="方正仿宋简体"/>
                <w:i w:val="0"/>
                <w:color w:val="auto"/>
                <w:sz w:val="20"/>
                <w:szCs w:val="20"/>
                <w:u w:val="none"/>
              </w:rPr>
            </w:pPr>
          </w:p>
        </w:tc>
        <w:tc>
          <w:tcPr>
            <w:tcW w:w="862"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95BDB70">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每季度一次</w:t>
            </w:r>
          </w:p>
        </w:tc>
        <w:tc>
          <w:tcPr>
            <w:tcW w:w="854"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5DDE1F07">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EC991DA">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23DE0BA2">
        <w:tblPrEx>
          <w:shd w:val="clear" w:color="auto" w:fill="auto"/>
          <w:tblCellMar>
            <w:top w:w="0" w:type="dxa"/>
            <w:left w:w="0" w:type="dxa"/>
            <w:bottom w:w="0" w:type="dxa"/>
            <w:right w:w="0" w:type="dxa"/>
          </w:tblCellMar>
        </w:tblPrEx>
        <w:trPr>
          <w:trHeight w:val="675"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EF89B">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二次供水水质监测</w:t>
            </w: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36184">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水质监测</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C8097">
            <w:pPr>
              <w:rPr>
                <w:rFonts w:hint="eastAsia" w:ascii="方正仿宋简体" w:hAnsi="方正仿宋简体" w:eastAsia="方正仿宋简体" w:cs="方正仿宋简体"/>
                <w:i w:val="0"/>
                <w:color w:val="auto"/>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F4101">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每季度一次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1B7C2">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C499A">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37FCDCCB">
        <w:tblPrEx>
          <w:shd w:val="clear" w:color="auto" w:fill="auto"/>
          <w:tblCellMar>
            <w:top w:w="0" w:type="dxa"/>
            <w:left w:w="0" w:type="dxa"/>
            <w:bottom w:w="0" w:type="dxa"/>
            <w:right w:w="0" w:type="dxa"/>
          </w:tblCellMar>
        </w:tblPrEx>
        <w:trPr>
          <w:trHeight w:val="675" w:hRule="atLeast"/>
        </w:trPr>
        <w:tc>
          <w:tcPr>
            <w:tcW w:w="791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4B57A">
            <w:pPr>
              <w:keepNext w:val="0"/>
              <w:keepLines w:val="0"/>
              <w:widowControl/>
              <w:suppressLineNumbers w:val="0"/>
              <w:jc w:val="right"/>
              <w:textAlignment w:val="center"/>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总计</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A53C7">
            <w:pPr>
              <w:keepNext w:val="0"/>
              <w:keepLines w:val="0"/>
              <w:widowControl/>
              <w:suppressLineNumbers w:val="0"/>
              <w:jc w:val="left"/>
              <w:textAlignment w:val="center"/>
              <w:rPr>
                <w:rFonts w:hint="eastAsia" w:ascii="方正仿宋简体" w:hAnsi="方正仿宋简体" w:eastAsia="方正仿宋简体" w:cs="方正仿宋简体"/>
                <w:color w:val="auto"/>
                <w:sz w:val="24"/>
                <w:szCs w:val="24"/>
              </w:rPr>
            </w:pPr>
          </w:p>
        </w:tc>
      </w:tr>
    </w:tbl>
    <w:p w14:paraId="58F306E5">
      <w:pPr>
        <w:spacing w:before="156" w:beforeLines="50" w:after="156" w:afterLines="50"/>
        <w:rPr>
          <w:rFonts w:ascii="宋体" w:hAnsi="宋体" w:eastAsia="宋体" w:cs="宋体"/>
          <w:bCs/>
          <w:color w:val="auto"/>
          <w:sz w:val="24"/>
          <w:szCs w:val="24"/>
        </w:rPr>
      </w:pPr>
    </w:p>
    <w:p w14:paraId="3990B894">
      <w:pPr>
        <w:spacing w:before="156" w:beforeLines="50" w:after="156" w:afterLines="50"/>
        <w:rPr>
          <w:rFonts w:ascii="宋体" w:hAnsi="宋体" w:eastAsia="宋体" w:cs="宋体"/>
          <w:bCs/>
          <w:color w:val="auto"/>
          <w:sz w:val="24"/>
          <w:szCs w:val="24"/>
        </w:rPr>
      </w:pPr>
      <w:r>
        <w:rPr>
          <w:rFonts w:hint="eastAsia" w:ascii="宋体" w:hAnsi="宋体" w:eastAsia="宋体" w:cs="宋体"/>
          <w:bCs/>
          <w:color w:val="auto"/>
          <w:sz w:val="24"/>
          <w:szCs w:val="24"/>
        </w:rPr>
        <w:t>注：1. 以上报价是最终用户验收合格后的总价，是</w:t>
      </w:r>
      <w:r>
        <w:rPr>
          <w:rFonts w:hint="eastAsia" w:ascii="宋体" w:hAnsi="宋体" w:eastAsia="宋体" w:cs="Times New Roman"/>
          <w:color w:val="auto"/>
          <w:sz w:val="24"/>
          <w:szCs w:val="24"/>
        </w:rPr>
        <w:t>响应比选项目要求的全部工作内容的体现，</w:t>
      </w:r>
      <w:r>
        <w:rPr>
          <w:rFonts w:hint="eastAsia" w:ascii="宋体" w:hAnsi="宋体" w:eastAsia="宋体" w:cs="宋体"/>
          <w:bCs/>
          <w:color w:val="auto"/>
          <w:sz w:val="24"/>
          <w:szCs w:val="24"/>
        </w:rPr>
        <w:t>包括</w:t>
      </w:r>
      <w:r>
        <w:rPr>
          <w:rFonts w:hint="eastAsia" w:ascii="宋体" w:hAnsi="宋体" w:eastAsia="宋体" w:cs="Times New Roman"/>
          <w:color w:val="auto"/>
          <w:sz w:val="24"/>
          <w:szCs w:val="24"/>
        </w:rPr>
        <w:t>完成本项目所需的一切费用</w:t>
      </w:r>
      <w:r>
        <w:rPr>
          <w:rFonts w:hint="eastAsia" w:ascii="宋体" w:hAnsi="宋体" w:eastAsia="宋体" w:cs="宋体"/>
          <w:bCs/>
          <w:color w:val="auto"/>
          <w:sz w:val="24"/>
          <w:szCs w:val="24"/>
        </w:rPr>
        <w:t xml:space="preserve">。 </w:t>
      </w:r>
    </w:p>
    <w:p w14:paraId="43E8429A">
      <w:pPr>
        <w:spacing w:before="156" w:beforeLines="50" w:after="156" w:afterLines="50"/>
        <w:rPr>
          <w:rFonts w:ascii="宋体" w:hAnsi="宋体" w:eastAsia="宋体" w:cs="宋体"/>
          <w:bCs/>
          <w:color w:val="auto"/>
          <w:sz w:val="24"/>
          <w:szCs w:val="24"/>
        </w:rPr>
      </w:pPr>
      <w:r>
        <w:rPr>
          <w:rFonts w:hint="eastAsia" w:ascii="宋体" w:hAnsi="宋体" w:eastAsia="宋体" w:cs="宋体"/>
          <w:bCs/>
          <w:color w:val="auto"/>
          <w:sz w:val="24"/>
          <w:szCs w:val="24"/>
        </w:rPr>
        <w:t>2.“报价表”为多页的，每页均应加盖比选申请人公章（鲜章）。</w:t>
      </w:r>
    </w:p>
    <w:p w14:paraId="0C6AF245">
      <w:pPr>
        <w:spacing w:before="156" w:beforeLines="50" w:after="156" w:afterLines="50"/>
        <w:rPr>
          <w:rFonts w:ascii="宋体" w:hAnsi="宋体" w:eastAsia="宋体" w:cs="宋体"/>
          <w:bCs/>
          <w:color w:val="auto"/>
          <w:sz w:val="24"/>
          <w:szCs w:val="24"/>
        </w:rPr>
      </w:pPr>
      <w:bookmarkStart w:id="2" w:name="_Toc217446086"/>
      <w:r>
        <w:rPr>
          <w:rFonts w:hint="eastAsia" w:ascii="宋体" w:hAnsi="宋体" w:eastAsia="宋体" w:cs="宋体"/>
          <w:bCs/>
          <w:color w:val="auto"/>
          <w:sz w:val="24"/>
          <w:szCs w:val="24"/>
        </w:rPr>
        <w:t>比选申请人名称：</w:t>
      </w:r>
      <w:r>
        <w:rPr>
          <w:rFonts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rPr>
        <w:t>（单位公章）</w:t>
      </w:r>
      <w:r>
        <w:rPr>
          <w:rFonts w:hint="eastAsia" w:ascii="宋体" w:hAnsi="宋体" w:eastAsia="宋体" w:cs="宋体"/>
          <w:bCs/>
          <w:color w:val="auto"/>
          <w:sz w:val="24"/>
          <w:szCs w:val="24"/>
        </w:rPr>
        <w:t>。</w:t>
      </w:r>
    </w:p>
    <w:p w14:paraId="6635294D">
      <w:pPr>
        <w:spacing w:before="156" w:beforeLines="50" w:after="156" w:afterLines="50"/>
        <w:rPr>
          <w:rFonts w:ascii="宋体" w:hAnsi="宋体" w:eastAsia="宋体" w:cs="宋体"/>
          <w:bCs/>
          <w:color w:val="auto"/>
          <w:sz w:val="24"/>
          <w:szCs w:val="24"/>
        </w:rPr>
      </w:pPr>
      <w:r>
        <w:rPr>
          <w:rFonts w:hint="eastAsia" w:ascii="宋体" w:hAnsi="宋体" w:eastAsia="宋体" w:cs="宋体"/>
          <w:bCs/>
          <w:color w:val="auto"/>
          <w:sz w:val="24"/>
          <w:szCs w:val="24"/>
        </w:rPr>
        <w:t>法定代表人/单位负责人或授权代表（签字或加盖个人名章）：</w:t>
      </w:r>
      <w:r>
        <w:rPr>
          <w:rFonts w:ascii="宋体" w:hAnsi="宋体" w:eastAsia="宋体" w:cs="宋体"/>
          <w:bCs/>
          <w:color w:val="auto"/>
          <w:sz w:val="24"/>
          <w:szCs w:val="24"/>
          <w:u w:val="single"/>
        </w:rPr>
        <w:t xml:space="preserve">        </w:t>
      </w:r>
      <w:r>
        <w:rPr>
          <w:rFonts w:hint="eastAsia" w:ascii="宋体" w:hAnsi="宋体" w:eastAsia="宋体" w:cs="宋体"/>
          <w:bCs/>
          <w:color w:val="auto"/>
          <w:sz w:val="24"/>
          <w:szCs w:val="24"/>
        </w:rPr>
        <w:t>。</w:t>
      </w:r>
    </w:p>
    <w:p w14:paraId="4102156A">
      <w:pPr>
        <w:spacing w:before="156" w:beforeLines="50" w:after="156" w:afterLines="50"/>
        <w:rPr>
          <w:rFonts w:ascii="宋体" w:hAnsi="宋体" w:eastAsia="宋体" w:cs="宋体"/>
          <w:bCs/>
          <w:color w:val="auto"/>
          <w:sz w:val="24"/>
          <w:szCs w:val="24"/>
        </w:rPr>
      </w:pPr>
      <w:r>
        <w:rPr>
          <w:rFonts w:hint="eastAsia" w:ascii="宋体" w:hAnsi="宋体" w:eastAsia="宋体" w:cs="宋体"/>
          <w:bCs/>
          <w:color w:val="auto"/>
          <w:sz w:val="24"/>
          <w:szCs w:val="24"/>
        </w:rPr>
        <w:t>日    期：</w:t>
      </w:r>
      <w:r>
        <w:rPr>
          <w:rFonts w:ascii="宋体" w:hAnsi="宋体" w:eastAsia="宋体" w:cs="宋体"/>
          <w:bCs/>
          <w:color w:val="auto"/>
          <w:sz w:val="24"/>
          <w:szCs w:val="24"/>
          <w:u w:val="single"/>
        </w:rPr>
        <w:t xml:space="preserve">        </w:t>
      </w:r>
      <w:r>
        <w:rPr>
          <w:rFonts w:hint="eastAsia" w:ascii="宋体" w:hAnsi="宋体" w:eastAsia="宋体" w:cs="宋体"/>
          <w:bCs/>
          <w:color w:val="auto"/>
          <w:sz w:val="24"/>
          <w:szCs w:val="24"/>
        </w:rPr>
        <w:t>年</w:t>
      </w:r>
      <w:r>
        <w:rPr>
          <w:rFonts w:ascii="宋体" w:hAnsi="宋体" w:eastAsia="宋体" w:cs="宋体"/>
          <w:bCs/>
          <w:color w:val="auto"/>
          <w:sz w:val="24"/>
          <w:szCs w:val="24"/>
          <w:u w:val="single"/>
        </w:rPr>
        <w:t xml:space="preserve">        </w:t>
      </w:r>
      <w:r>
        <w:rPr>
          <w:rFonts w:hint="eastAsia" w:ascii="宋体" w:hAnsi="宋体" w:eastAsia="宋体" w:cs="宋体"/>
          <w:bCs/>
          <w:color w:val="auto"/>
          <w:sz w:val="24"/>
          <w:szCs w:val="24"/>
        </w:rPr>
        <w:t>月</w:t>
      </w:r>
      <w:r>
        <w:rPr>
          <w:rFonts w:ascii="宋体" w:hAnsi="宋体" w:eastAsia="宋体" w:cs="宋体"/>
          <w:bCs/>
          <w:color w:val="auto"/>
          <w:sz w:val="24"/>
          <w:szCs w:val="24"/>
          <w:u w:val="single"/>
        </w:rPr>
        <w:t xml:space="preserve">        </w:t>
      </w:r>
      <w:r>
        <w:rPr>
          <w:rFonts w:hint="eastAsia" w:ascii="宋体" w:hAnsi="宋体" w:eastAsia="宋体" w:cs="宋体"/>
          <w:bCs/>
          <w:color w:val="auto"/>
          <w:sz w:val="24"/>
          <w:szCs w:val="24"/>
        </w:rPr>
        <w:t>日。</w:t>
      </w:r>
    </w:p>
    <w:p w14:paraId="16D0C980">
      <w:pPr>
        <w:spacing w:before="156" w:beforeLines="50" w:after="156" w:afterLines="50"/>
        <w:rPr>
          <w:rFonts w:ascii="宋体" w:hAnsi="宋体" w:eastAsia="宋体" w:cs="宋体"/>
          <w:bCs/>
          <w:color w:val="auto"/>
          <w:sz w:val="24"/>
          <w:szCs w:val="24"/>
        </w:rPr>
      </w:pPr>
    </w:p>
    <w:p w14:paraId="25369EB9">
      <w:pPr>
        <w:spacing w:before="156" w:beforeLines="50" w:after="156" w:afterLines="50"/>
        <w:rPr>
          <w:rFonts w:ascii="宋体" w:hAnsi="宋体" w:eastAsia="宋体" w:cs="宋体"/>
          <w:bCs/>
          <w:color w:val="auto"/>
          <w:sz w:val="24"/>
          <w:szCs w:val="24"/>
        </w:rPr>
      </w:pPr>
    </w:p>
    <w:p w14:paraId="67312A59">
      <w:pPr>
        <w:spacing w:before="156" w:beforeLines="50" w:after="156" w:afterLines="50"/>
        <w:rPr>
          <w:rFonts w:ascii="宋体" w:hAnsi="宋体" w:eastAsia="宋体" w:cs="宋体"/>
          <w:bCs/>
          <w:color w:val="auto"/>
          <w:sz w:val="24"/>
          <w:szCs w:val="24"/>
        </w:rPr>
      </w:pPr>
    </w:p>
    <w:p w14:paraId="6ED83A35">
      <w:pPr>
        <w:spacing w:before="156" w:beforeLines="50" w:after="156" w:afterLines="50"/>
        <w:rPr>
          <w:rFonts w:ascii="宋体" w:hAnsi="宋体" w:eastAsia="宋体" w:cs="宋体"/>
          <w:bCs/>
          <w:color w:val="auto"/>
          <w:sz w:val="24"/>
          <w:szCs w:val="24"/>
        </w:rPr>
      </w:pPr>
    </w:p>
    <w:p w14:paraId="10B1C6D0">
      <w:pPr>
        <w:spacing w:before="156" w:beforeLines="50" w:after="156" w:afterLines="50"/>
        <w:rPr>
          <w:rFonts w:ascii="宋体" w:hAnsi="宋体" w:eastAsia="宋体" w:cs="宋体"/>
          <w:bCs/>
          <w:color w:val="auto"/>
          <w:sz w:val="24"/>
          <w:szCs w:val="24"/>
        </w:rPr>
      </w:pPr>
    </w:p>
    <w:p w14:paraId="395780E8">
      <w:pPr>
        <w:spacing w:before="156" w:beforeLines="50" w:after="156" w:afterLines="50"/>
        <w:rPr>
          <w:rFonts w:ascii="宋体" w:hAnsi="宋体" w:eastAsia="宋体" w:cs="宋体"/>
          <w:bCs/>
          <w:color w:val="auto"/>
          <w:sz w:val="24"/>
          <w:szCs w:val="24"/>
        </w:rPr>
      </w:pPr>
    </w:p>
    <w:p w14:paraId="05589EE3">
      <w:pPr>
        <w:spacing w:before="156" w:beforeLines="50" w:after="156" w:afterLines="50"/>
        <w:rPr>
          <w:rFonts w:ascii="宋体" w:hAnsi="宋体" w:eastAsia="宋体" w:cs="宋体"/>
          <w:bCs/>
          <w:color w:val="auto"/>
          <w:sz w:val="24"/>
          <w:szCs w:val="24"/>
        </w:rPr>
      </w:pPr>
    </w:p>
    <w:p w14:paraId="33CF47FB">
      <w:pPr>
        <w:widowControl/>
        <w:jc w:val="left"/>
        <w:rPr>
          <w:rFonts w:ascii="宋体" w:hAnsi="宋体" w:eastAsia="宋体" w:cs="宋体"/>
          <w:bCs/>
          <w:color w:val="auto"/>
          <w:sz w:val="24"/>
          <w:szCs w:val="24"/>
        </w:rPr>
      </w:pPr>
      <w:r>
        <w:rPr>
          <w:rFonts w:ascii="宋体" w:hAnsi="宋体" w:eastAsia="宋体" w:cs="宋体"/>
          <w:bCs/>
          <w:color w:val="auto"/>
          <w:sz w:val="24"/>
          <w:szCs w:val="24"/>
        </w:rPr>
        <w:br w:type="page"/>
      </w:r>
    </w:p>
    <w:bookmarkEnd w:id="2"/>
    <w:p w14:paraId="74753BEF">
      <w:pPr>
        <w:pStyle w:val="4"/>
        <w:rPr>
          <w:rFonts w:ascii="华文中宋" w:hAnsi="华文中宋" w:eastAsia="华文中宋" w:cs="宋体"/>
          <w:bCs w:val="0"/>
          <w:color w:val="auto"/>
        </w:rPr>
      </w:pPr>
      <w:r>
        <w:rPr>
          <w:rFonts w:ascii="华文中宋" w:hAnsi="华文中宋" w:eastAsia="华文中宋" w:cs="宋体"/>
          <w:bCs w:val="0"/>
          <w:color w:val="auto"/>
        </w:rPr>
        <w:t>3、承诺函</w:t>
      </w:r>
    </w:p>
    <w:p w14:paraId="3DF5B6DC">
      <w:pPr>
        <w:spacing w:before="80" w:after="80" w:line="360" w:lineRule="auto"/>
        <w:rPr>
          <w:rFonts w:ascii="Times New Roman" w:hAnsi="Times New Roman" w:eastAsia="Times New Roman" w:cs="Times New Roman"/>
          <w:color w:val="auto"/>
          <w:sz w:val="24"/>
          <w:szCs w:val="24"/>
        </w:rPr>
      </w:pPr>
      <w:r>
        <w:rPr>
          <w:rFonts w:ascii="宋体" w:hAnsi="宋体" w:eastAsia="宋体" w:cs="宋体"/>
          <w:color w:val="auto"/>
          <w:sz w:val="24"/>
          <w:szCs w:val="24"/>
        </w:rPr>
        <w:t>致</w:t>
      </w:r>
      <w:r>
        <w:rPr>
          <w:rFonts w:hint="eastAsia" w:ascii="宋体" w:hAnsi="宋体" w:eastAsia="宋体" w:cs="宋体"/>
          <w:color w:val="auto"/>
          <w:sz w:val="24"/>
          <w:szCs w:val="24"/>
          <w:u w:val="single"/>
          <w:lang w:eastAsia="zh-CN"/>
        </w:rPr>
        <w:t>成都市成华区中医医院</w:t>
      </w:r>
      <w:r>
        <w:rPr>
          <w:rFonts w:ascii="宋体" w:hAnsi="宋体" w:eastAsia="宋体" w:cs="宋体"/>
          <w:color w:val="auto"/>
          <w:sz w:val="24"/>
          <w:szCs w:val="24"/>
        </w:rPr>
        <w:t>：</w:t>
      </w:r>
    </w:p>
    <w:p w14:paraId="4A946129">
      <w:pPr>
        <w:spacing w:before="80" w:after="80" w:line="360" w:lineRule="auto"/>
        <w:ind w:firstLine="480" w:firstLineChars="200"/>
        <w:rPr>
          <w:rFonts w:ascii="Times New Roman" w:hAnsi="Times New Roman" w:eastAsia="Times New Roman" w:cs="Times New Roman"/>
          <w:color w:val="auto"/>
          <w:sz w:val="24"/>
          <w:szCs w:val="24"/>
        </w:rPr>
      </w:pPr>
      <w:r>
        <w:rPr>
          <w:rFonts w:ascii="宋体" w:hAnsi="宋体" w:eastAsia="宋体" w:cs="宋体"/>
          <w:color w:val="auto"/>
          <w:sz w:val="24"/>
          <w:szCs w:val="24"/>
        </w:rPr>
        <w:t>本公司（公司名称）参加（项目名称）（比选编号）的比选活动，特别针对以下条款，郑重承诺：</w:t>
      </w:r>
    </w:p>
    <w:p w14:paraId="638C8DA7">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1、在中华人民共和国境内依法注册的法人或者其他组织；</w:t>
      </w:r>
    </w:p>
    <w:p w14:paraId="3A7117FD">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w:t>
      </w:r>
    </w:p>
    <w:p w14:paraId="12853ADE">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3、具有履行合同所必须的设备和专业技术能力；</w:t>
      </w:r>
    </w:p>
    <w:p w14:paraId="48D10070">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4、具有依法缴纳税收和社会保障资金的良好记录；</w:t>
      </w:r>
    </w:p>
    <w:p w14:paraId="7D721641">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5、参加本次比选活动前三年内，在经营活动中没有重大违法记录；</w:t>
      </w:r>
    </w:p>
    <w:p w14:paraId="0AA88E34">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6、比选申请人还符合法律、行政法规规定的其他强制性条件；</w:t>
      </w:r>
    </w:p>
    <w:p w14:paraId="115F64F1">
      <w:pPr>
        <w:spacing w:before="80" w:after="80" w:line="360" w:lineRule="auto"/>
        <w:ind w:firstLine="480" w:firstLineChars="200"/>
        <w:rPr>
          <w:rFonts w:ascii="Times New Roman" w:hAnsi="Times New Roman" w:eastAsia="Times New Roman" w:cs="Times New Roman"/>
          <w:color w:val="auto"/>
          <w:sz w:val="24"/>
          <w:szCs w:val="24"/>
        </w:rPr>
      </w:pPr>
      <w:r>
        <w:rPr>
          <w:rFonts w:hint="eastAsia" w:ascii="宋体" w:hAnsi="宋体" w:eastAsia="宋体" w:cs="宋体"/>
          <w:color w:val="auto"/>
          <w:sz w:val="24"/>
          <w:szCs w:val="24"/>
        </w:rPr>
        <w:t>7、我方完全同意比选文件第一章比选申请人须知中关于“比选报价”、“比选响应有效期”、“合同签订”的实质性要求，并承诺严格按照比选文件要求履行。</w:t>
      </w:r>
    </w:p>
    <w:p w14:paraId="78FB8AE7">
      <w:pPr>
        <w:spacing w:before="80" w:after="80" w:line="360" w:lineRule="auto"/>
        <w:ind w:firstLine="480" w:firstLineChars="200"/>
        <w:rPr>
          <w:rFonts w:ascii="宋体" w:hAnsi="宋体" w:eastAsia="宋体" w:cs="宋体"/>
          <w:color w:val="auto"/>
          <w:sz w:val="24"/>
          <w:szCs w:val="24"/>
        </w:rPr>
      </w:pPr>
    </w:p>
    <w:p w14:paraId="59D0D12D">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本单位对上述承诺的内容事项真实性负责。如经查实上述承诺的内容事项存在虚假，我单位愿意接受以提供虚假材料谋取中选追究法律责任。</w:t>
      </w:r>
    </w:p>
    <w:p w14:paraId="7CF0B433">
      <w:pPr>
        <w:spacing w:line="360" w:lineRule="auto"/>
        <w:ind w:firstLine="848"/>
        <w:rPr>
          <w:rFonts w:ascii="Times New Roman" w:hAnsi="Times New Roman" w:eastAsia="Times New Roman" w:cs="Times New Roman"/>
          <w:color w:val="auto"/>
          <w:sz w:val="24"/>
          <w:szCs w:val="24"/>
        </w:rPr>
      </w:pPr>
    </w:p>
    <w:p w14:paraId="322B5412">
      <w:pPr>
        <w:spacing w:line="360" w:lineRule="auto"/>
        <w:ind w:firstLine="280"/>
        <w:rPr>
          <w:rFonts w:ascii="Times New Roman" w:hAnsi="Times New Roman" w:eastAsia="Times New Roman" w:cs="Times New Roman"/>
          <w:color w:val="auto"/>
          <w:sz w:val="24"/>
          <w:szCs w:val="24"/>
        </w:rPr>
      </w:pPr>
      <w:r>
        <w:rPr>
          <w:rFonts w:ascii="宋体" w:hAnsi="宋体" w:eastAsia="宋体" w:cs="宋体"/>
          <w:color w:val="auto"/>
          <w:sz w:val="24"/>
          <w:szCs w:val="24"/>
        </w:rPr>
        <w:t>如违反以上承诺，本公司愿承担一切法律责任。</w:t>
      </w:r>
    </w:p>
    <w:p w14:paraId="392B43F9">
      <w:pPr>
        <w:spacing w:line="360" w:lineRule="auto"/>
        <w:ind w:firstLine="280"/>
        <w:rPr>
          <w:rFonts w:ascii="Times New Roman" w:hAnsi="Times New Roman" w:eastAsia="Times New Roman" w:cs="Times New Roman"/>
          <w:color w:val="auto"/>
          <w:sz w:val="24"/>
          <w:szCs w:val="24"/>
        </w:rPr>
      </w:pPr>
    </w:p>
    <w:p w14:paraId="13C86BEA">
      <w:pPr>
        <w:spacing w:line="360" w:lineRule="auto"/>
        <w:ind w:firstLine="280"/>
        <w:rPr>
          <w:rFonts w:ascii="Times New Roman" w:hAnsi="Times New Roman" w:eastAsia="Times New Roman" w:cs="Times New Roman"/>
          <w:color w:val="auto"/>
          <w:sz w:val="24"/>
          <w:szCs w:val="24"/>
        </w:rPr>
      </w:pPr>
      <w:r>
        <w:rPr>
          <w:rFonts w:ascii="宋体" w:hAnsi="宋体" w:eastAsia="宋体" w:cs="宋体"/>
          <w:color w:val="auto"/>
          <w:sz w:val="24"/>
          <w:szCs w:val="24"/>
        </w:rPr>
        <w:t>比选申请人名称：</w:t>
      </w:r>
      <w:r>
        <w:rPr>
          <w:rFonts w:ascii="宋体" w:hAnsi="宋体" w:eastAsia="宋体" w:cs="宋体"/>
          <w:color w:val="auto"/>
          <w:sz w:val="24"/>
          <w:szCs w:val="24"/>
          <w:u w:val="single"/>
        </w:rPr>
        <w:t>（盖章）</w:t>
      </w:r>
    </w:p>
    <w:p w14:paraId="7ABED232">
      <w:pPr>
        <w:spacing w:line="360" w:lineRule="auto"/>
        <w:ind w:firstLine="280"/>
        <w:rPr>
          <w:rFonts w:ascii="Times New Roman" w:hAnsi="Times New Roman" w:eastAsia="Times New Roman" w:cs="Times New Roman"/>
          <w:color w:val="auto"/>
          <w:sz w:val="24"/>
          <w:szCs w:val="24"/>
        </w:rPr>
      </w:pPr>
      <w:r>
        <w:rPr>
          <w:rFonts w:ascii="宋体" w:hAnsi="宋体" w:eastAsia="宋体" w:cs="宋体"/>
          <w:color w:val="auto"/>
          <w:sz w:val="24"/>
          <w:szCs w:val="24"/>
        </w:rPr>
        <w:t>法定代表人或授权代表（签字）：</w:t>
      </w:r>
    </w:p>
    <w:p w14:paraId="4DD98714">
      <w:pPr>
        <w:spacing w:line="360" w:lineRule="auto"/>
        <w:ind w:firstLine="280"/>
        <w:rPr>
          <w:rFonts w:ascii="Times New Roman" w:hAnsi="Times New Roman" w:eastAsia="Times New Roman" w:cs="Times New Roman"/>
          <w:color w:val="auto"/>
          <w:sz w:val="24"/>
          <w:szCs w:val="24"/>
        </w:rPr>
      </w:pPr>
      <w:r>
        <w:rPr>
          <w:rFonts w:ascii="宋体" w:hAnsi="宋体" w:eastAsia="宋体" w:cs="宋体"/>
          <w:color w:val="auto"/>
          <w:sz w:val="24"/>
          <w:szCs w:val="24"/>
        </w:rPr>
        <w:t>比选日期：</w:t>
      </w:r>
      <w:r>
        <w:rPr>
          <w:rFonts w:hint="eastAsia" w:ascii="宋体" w:hAnsi="宋体" w:eastAsia="宋体" w:cs="宋体"/>
          <w:color w:val="auto"/>
          <w:sz w:val="24"/>
          <w:szCs w:val="24"/>
        </w:rPr>
        <w:t>X</w:t>
      </w:r>
      <w:r>
        <w:rPr>
          <w:rFonts w:ascii="宋体" w:hAnsi="宋体" w:eastAsia="宋体" w:cs="宋体"/>
          <w:color w:val="auto"/>
          <w:sz w:val="24"/>
          <w:szCs w:val="24"/>
        </w:rPr>
        <w:t>年</w:t>
      </w:r>
      <w:r>
        <w:rPr>
          <w:rFonts w:hint="eastAsia" w:ascii="宋体" w:hAnsi="宋体" w:eastAsia="宋体" w:cs="宋体"/>
          <w:color w:val="auto"/>
          <w:sz w:val="24"/>
          <w:szCs w:val="24"/>
        </w:rPr>
        <w:t>X</w:t>
      </w:r>
      <w:r>
        <w:rPr>
          <w:rFonts w:ascii="宋体" w:hAnsi="宋体" w:eastAsia="宋体" w:cs="宋体"/>
          <w:color w:val="auto"/>
          <w:sz w:val="24"/>
          <w:szCs w:val="24"/>
        </w:rPr>
        <w:t>月</w:t>
      </w:r>
      <w:r>
        <w:rPr>
          <w:rFonts w:hint="eastAsia" w:ascii="宋体" w:hAnsi="宋体" w:eastAsia="宋体" w:cs="宋体"/>
          <w:color w:val="auto"/>
          <w:sz w:val="24"/>
          <w:szCs w:val="24"/>
        </w:rPr>
        <w:t>X</w:t>
      </w:r>
      <w:r>
        <w:rPr>
          <w:rFonts w:ascii="宋体" w:hAnsi="宋体" w:eastAsia="宋体" w:cs="宋体"/>
          <w:color w:val="auto"/>
          <w:sz w:val="24"/>
          <w:szCs w:val="24"/>
        </w:rPr>
        <w:t>日</w:t>
      </w:r>
    </w:p>
    <w:p w14:paraId="57806FC7">
      <w:pPr>
        <w:spacing w:line="360" w:lineRule="auto"/>
        <w:jc w:val="left"/>
        <w:rPr>
          <w:rFonts w:ascii="Times New Roman" w:hAnsi="Times New Roman" w:eastAsia="Times New Roman" w:cs="Times New Roman"/>
          <w:color w:val="auto"/>
          <w:sz w:val="24"/>
          <w:szCs w:val="24"/>
        </w:rPr>
      </w:pPr>
    </w:p>
    <w:p w14:paraId="43311373">
      <w:pPr>
        <w:spacing w:line="360" w:lineRule="auto"/>
        <w:ind w:firstLine="280"/>
        <w:rPr>
          <w:rFonts w:ascii="Times New Roman" w:hAnsi="Times New Roman" w:eastAsia="Times New Roman" w:cs="Times New Roman"/>
          <w:color w:val="auto"/>
          <w:sz w:val="24"/>
          <w:szCs w:val="24"/>
        </w:rPr>
      </w:pPr>
      <w:r>
        <w:rPr>
          <w:rFonts w:ascii="宋体" w:hAnsi="宋体" w:eastAsia="宋体" w:cs="宋体"/>
          <w:color w:val="auto"/>
          <w:sz w:val="24"/>
          <w:szCs w:val="24"/>
        </w:rPr>
        <w:t>注：</w:t>
      </w:r>
      <w:r>
        <w:rPr>
          <w:rFonts w:ascii="Times New Roman" w:hAnsi="Times New Roman" w:eastAsia="Times New Roman" w:cs="Times New Roman"/>
          <w:color w:val="auto"/>
          <w:sz w:val="24"/>
          <w:szCs w:val="24"/>
        </w:rPr>
        <w:t>1.</w:t>
      </w:r>
      <w:r>
        <w:rPr>
          <w:rFonts w:ascii="宋体" w:hAnsi="宋体" w:eastAsia="宋体" w:cs="宋体"/>
          <w:color w:val="auto"/>
          <w:sz w:val="24"/>
          <w:szCs w:val="24"/>
        </w:rPr>
        <w:t>可自行提供具有有效签字和盖章的格式，但承诺函的内容至少应该包含本格式中涉及的承诺内容。</w:t>
      </w:r>
    </w:p>
    <w:p w14:paraId="1CDF5968">
      <w:pPr>
        <w:spacing w:line="360" w:lineRule="auto"/>
        <w:ind w:firstLine="280"/>
        <w:rPr>
          <w:rFonts w:ascii="Cambria" w:hAnsi="Cambria" w:eastAsia="Cambria" w:cs="Cambria"/>
          <w:b/>
          <w:color w:val="auto"/>
          <w:sz w:val="32"/>
        </w:rPr>
      </w:pPr>
      <w:r>
        <w:rPr>
          <w:rFonts w:ascii="Cambria" w:hAnsi="Cambria" w:eastAsia="Cambria" w:cs="Cambria"/>
          <w:b/>
          <w:color w:val="auto"/>
          <w:sz w:val="32"/>
        </w:rPr>
        <w:t xml:space="preserve"> </w:t>
      </w:r>
    </w:p>
    <w:p w14:paraId="233B2B3E">
      <w:pPr>
        <w:pStyle w:val="4"/>
        <w:rPr>
          <w:rFonts w:ascii="华文中宋" w:hAnsi="华文中宋" w:eastAsia="华文中宋" w:cs="宋体"/>
          <w:bCs w:val="0"/>
          <w:color w:val="auto"/>
        </w:rPr>
      </w:pPr>
      <w:r>
        <w:rPr>
          <w:rFonts w:ascii="华文中宋" w:hAnsi="华文中宋" w:eastAsia="华文中宋" w:cs="宋体"/>
          <w:bCs w:val="0"/>
          <w:color w:val="auto"/>
        </w:rPr>
        <w:t>4、营业执照或</w:t>
      </w:r>
      <w:r>
        <w:rPr>
          <w:rFonts w:hint="eastAsia" w:ascii="华文中宋" w:hAnsi="华文中宋" w:eastAsia="华文中宋" w:cs="宋体"/>
          <w:bCs w:val="0"/>
          <w:color w:val="auto"/>
        </w:rPr>
        <w:t>其他组织</w:t>
      </w:r>
      <w:r>
        <w:rPr>
          <w:rFonts w:ascii="华文中宋" w:hAnsi="华文中宋" w:eastAsia="华文中宋" w:cs="宋体"/>
          <w:bCs w:val="0"/>
          <w:color w:val="auto"/>
        </w:rPr>
        <w:t>的证明材料</w:t>
      </w:r>
    </w:p>
    <w:p w14:paraId="577FDD02">
      <w:pPr>
        <w:keepNext/>
        <w:keepLines/>
        <w:spacing w:line="360" w:lineRule="auto"/>
        <w:jc w:val="center"/>
        <w:rPr>
          <w:rFonts w:ascii="Cambria" w:hAnsi="Cambria" w:eastAsia="Cambria" w:cs="Cambria"/>
          <w:b/>
          <w:color w:val="auto"/>
          <w:sz w:val="32"/>
        </w:rPr>
      </w:pPr>
      <w:r>
        <w:rPr>
          <w:rFonts w:ascii="Cambria" w:hAnsi="Cambria" w:eastAsia="Cambria" w:cs="Cambria"/>
          <w:b/>
          <w:color w:val="auto"/>
          <w:sz w:val="32"/>
        </w:rPr>
        <w:t xml:space="preserve"> </w:t>
      </w:r>
    </w:p>
    <w:p w14:paraId="03D51DF6">
      <w:pPr>
        <w:keepNext/>
        <w:keepLines/>
        <w:spacing w:line="360" w:lineRule="auto"/>
        <w:jc w:val="center"/>
        <w:rPr>
          <w:rFonts w:ascii="Cambria" w:hAnsi="Cambria" w:cs="Cambria"/>
          <w:b/>
          <w:color w:val="auto"/>
          <w:sz w:val="32"/>
        </w:rPr>
      </w:pPr>
    </w:p>
    <w:p w14:paraId="1785392B">
      <w:pPr>
        <w:keepNext/>
        <w:keepLines/>
        <w:spacing w:line="360" w:lineRule="auto"/>
        <w:jc w:val="center"/>
        <w:rPr>
          <w:rFonts w:ascii="Cambria" w:hAnsi="Cambria" w:cs="Cambria"/>
          <w:b/>
          <w:color w:val="auto"/>
          <w:sz w:val="32"/>
        </w:rPr>
      </w:pPr>
    </w:p>
    <w:p w14:paraId="1B21C790">
      <w:pPr>
        <w:keepNext/>
        <w:keepLines/>
        <w:spacing w:line="360" w:lineRule="auto"/>
        <w:jc w:val="center"/>
        <w:rPr>
          <w:rFonts w:ascii="Cambria" w:hAnsi="Cambria" w:cs="Cambria"/>
          <w:b/>
          <w:color w:val="auto"/>
          <w:sz w:val="32"/>
        </w:rPr>
      </w:pPr>
    </w:p>
    <w:p w14:paraId="564D9A96">
      <w:pPr>
        <w:keepNext/>
        <w:keepLines/>
        <w:spacing w:line="360" w:lineRule="auto"/>
        <w:jc w:val="center"/>
        <w:rPr>
          <w:rFonts w:ascii="Cambria" w:hAnsi="Cambria" w:cs="Cambria"/>
          <w:b/>
          <w:color w:val="auto"/>
          <w:sz w:val="32"/>
        </w:rPr>
      </w:pPr>
    </w:p>
    <w:p w14:paraId="193E88C6">
      <w:pPr>
        <w:keepNext/>
        <w:keepLines/>
        <w:spacing w:line="360" w:lineRule="auto"/>
        <w:jc w:val="center"/>
        <w:rPr>
          <w:rFonts w:ascii="Cambria" w:hAnsi="Cambria" w:cs="Cambria"/>
          <w:b/>
          <w:color w:val="auto"/>
          <w:sz w:val="32"/>
        </w:rPr>
      </w:pPr>
    </w:p>
    <w:p w14:paraId="639CA916">
      <w:pPr>
        <w:keepNext/>
        <w:keepLines/>
        <w:spacing w:line="360" w:lineRule="auto"/>
        <w:jc w:val="center"/>
        <w:rPr>
          <w:rFonts w:ascii="Cambria" w:hAnsi="Cambria" w:cs="Cambria"/>
          <w:b/>
          <w:color w:val="auto"/>
          <w:sz w:val="32"/>
        </w:rPr>
      </w:pPr>
    </w:p>
    <w:p w14:paraId="33E757AB">
      <w:pPr>
        <w:keepNext/>
        <w:keepLines/>
        <w:spacing w:line="360" w:lineRule="auto"/>
        <w:jc w:val="center"/>
        <w:rPr>
          <w:rFonts w:ascii="Cambria" w:hAnsi="Cambria" w:cs="Cambria"/>
          <w:b/>
          <w:color w:val="auto"/>
          <w:sz w:val="32"/>
        </w:rPr>
      </w:pPr>
    </w:p>
    <w:p w14:paraId="40362F4E">
      <w:pPr>
        <w:keepNext/>
        <w:keepLines/>
        <w:spacing w:line="360" w:lineRule="auto"/>
        <w:jc w:val="center"/>
        <w:rPr>
          <w:rFonts w:ascii="Cambria" w:hAnsi="Cambria" w:cs="Cambria"/>
          <w:b/>
          <w:color w:val="auto"/>
          <w:sz w:val="32"/>
        </w:rPr>
      </w:pPr>
    </w:p>
    <w:p w14:paraId="2B05BEBA">
      <w:pPr>
        <w:keepNext/>
        <w:keepLines/>
        <w:spacing w:line="360" w:lineRule="auto"/>
        <w:jc w:val="center"/>
        <w:rPr>
          <w:rFonts w:ascii="Cambria" w:hAnsi="Cambria" w:cs="Cambria"/>
          <w:b/>
          <w:color w:val="auto"/>
          <w:sz w:val="32"/>
        </w:rPr>
      </w:pPr>
    </w:p>
    <w:p w14:paraId="6DA59283">
      <w:pPr>
        <w:keepNext/>
        <w:keepLines/>
        <w:spacing w:line="360" w:lineRule="auto"/>
        <w:jc w:val="center"/>
        <w:rPr>
          <w:rFonts w:ascii="Cambria" w:hAnsi="Cambria" w:cs="Cambria"/>
          <w:b/>
          <w:color w:val="auto"/>
          <w:sz w:val="32"/>
        </w:rPr>
      </w:pPr>
    </w:p>
    <w:p w14:paraId="4B2BF31C">
      <w:pPr>
        <w:keepNext/>
        <w:keepLines/>
        <w:spacing w:line="360" w:lineRule="auto"/>
        <w:jc w:val="center"/>
        <w:rPr>
          <w:rFonts w:ascii="Cambria" w:hAnsi="Cambria" w:cs="Cambria"/>
          <w:b/>
          <w:color w:val="auto"/>
          <w:sz w:val="32"/>
        </w:rPr>
      </w:pPr>
    </w:p>
    <w:p w14:paraId="4EBF4B54">
      <w:pPr>
        <w:keepNext/>
        <w:keepLines/>
        <w:spacing w:line="360" w:lineRule="auto"/>
        <w:jc w:val="center"/>
        <w:rPr>
          <w:rFonts w:ascii="Cambria" w:hAnsi="Cambria" w:cs="Cambria"/>
          <w:b/>
          <w:color w:val="auto"/>
          <w:sz w:val="32"/>
        </w:rPr>
      </w:pPr>
    </w:p>
    <w:p w14:paraId="59AE2877">
      <w:pPr>
        <w:keepNext/>
        <w:keepLines/>
        <w:spacing w:line="360" w:lineRule="auto"/>
        <w:jc w:val="center"/>
        <w:rPr>
          <w:rFonts w:ascii="Cambria" w:hAnsi="Cambria" w:cs="Cambria"/>
          <w:b/>
          <w:color w:val="auto"/>
          <w:sz w:val="32"/>
        </w:rPr>
      </w:pPr>
    </w:p>
    <w:p w14:paraId="1CE98B13">
      <w:pPr>
        <w:keepNext/>
        <w:keepLines/>
        <w:spacing w:line="360" w:lineRule="auto"/>
        <w:jc w:val="center"/>
        <w:rPr>
          <w:rFonts w:ascii="Cambria" w:hAnsi="Cambria" w:cs="Cambria"/>
          <w:b/>
          <w:color w:val="auto"/>
          <w:sz w:val="32"/>
        </w:rPr>
      </w:pPr>
    </w:p>
    <w:p w14:paraId="1447B25A">
      <w:pPr>
        <w:keepNext/>
        <w:keepLines/>
        <w:spacing w:line="360" w:lineRule="auto"/>
        <w:jc w:val="center"/>
        <w:rPr>
          <w:rFonts w:ascii="Cambria" w:hAnsi="Cambria" w:cs="Cambria"/>
          <w:b/>
          <w:color w:val="auto"/>
          <w:sz w:val="32"/>
        </w:rPr>
      </w:pPr>
    </w:p>
    <w:p w14:paraId="65CA4AFA">
      <w:pPr>
        <w:keepNext/>
        <w:keepLines/>
        <w:spacing w:line="360" w:lineRule="auto"/>
        <w:jc w:val="center"/>
        <w:rPr>
          <w:rFonts w:ascii="Cambria" w:hAnsi="Cambria" w:cs="Cambria"/>
          <w:b/>
          <w:color w:val="auto"/>
          <w:sz w:val="32"/>
        </w:rPr>
      </w:pPr>
    </w:p>
    <w:p w14:paraId="45756400">
      <w:pPr>
        <w:keepNext/>
        <w:keepLines/>
        <w:spacing w:line="360" w:lineRule="auto"/>
        <w:jc w:val="center"/>
        <w:rPr>
          <w:rFonts w:ascii="Cambria" w:hAnsi="Cambria" w:cs="Cambria"/>
          <w:b/>
          <w:color w:val="auto"/>
          <w:sz w:val="32"/>
        </w:rPr>
      </w:pPr>
    </w:p>
    <w:p w14:paraId="72976631">
      <w:pPr>
        <w:keepNext/>
        <w:keepLines/>
        <w:spacing w:line="360" w:lineRule="auto"/>
        <w:jc w:val="center"/>
        <w:rPr>
          <w:rFonts w:ascii="Cambria" w:hAnsi="Cambria" w:cs="Cambria"/>
          <w:b/>
          <w:color w:val="auto"/>
          <w:sz w:val="32"/>
        </w:rPr>
      </w:pPr>
    </w:p>
    <w:p w14:paraId="60BED316">
      <w:pPr>
        <w:keepNext/>
        <w:keepLines/>
        <w:spacing w:line="360" w:lineRule="auto"/>
        <w:jc w:val="center"/>
        <w:rPr>
          <w:rFonts w:ascii="Cambria" w:hAnsi="Cambria" w:cs="Cambria"/>
          <w:b/>
          <w:color w:val="auto"/>
          <w:sz w:val="32"/>
        </w:rPr>
      </w:pPr>
    </w:p>
    <w:p w14:paraId="1F869F34">
      <w:pPr>
        <w:keepNext/>
        <w:keepLines/>
        <w:spacing w:line="360" w:lineRule="auto"/>
        <w:jc w:val="center"/>
        <w:rPr>
          <w:rFonts w:ascii="Cambria" w:hAnsi="Cambria" w:cs="Cambria"/>
          <w:b/>
          <w:color w:val="auto"/>
          <w:sz w:val="32"/>
        </w:rPr>
      </w:pPr>
    </w:p>
    <w:p w14:paraId="0C9C5596">
      <w:pPr>
        <w:pStyle w:val="4"/>
        <w:rPr>
          <w:rFonts w:ascii="Cambria" w:hAnsi="Cambria" w:eastAsia="Cambria" w:cs="Cambria"/>
          <w:b w:val="0"/>
          <w:color w:val="auto"/>
          <w:sz w:val="36"/>
          <w:szCs w:val="24"/>
        </w:rPr>
      </w:pPr>
      <w:r>
        <w:rPr>
          <w:rFonts w:ascii="华文中宋" w:hAnsi="华文中宋" w:eastAsia="华文中宋" w:cs="宋体"/>
          <w:bCs w:val="0"/>
          <w:color w:val="auto"/>
        </w:rPr>
        <w:t>5、比选申请人认为可提供的其他证明材料</w:t>
      </w:r>
    </w:p>
    <w:p w14:paraId="6955D9C2">
      <w:pPr>
        <w:keepNext/>
        <w:keepLines/>
        <w:spacing w:line="360" w:lineRule="auto"/>
        <w:jc w:val="center"/>
        <w:rPr>
          <w:rFonts w:hint="default" w:cs="仿宋" w:asciiTheme="minorEastAsia" w:hAnsiTheme="minorEastAsia"/>
          <w:b/>
          <w:color w:val="auto"/>
          <w:sz w:val="32"/>
          <w:lang w:val="en-US"/>
        </w:rPr>
      </w:pPr>
      <w:r>
        <w:rPr>
          <w:rFonts w:hint="eastAsia" w:cs="仿宋" w:asciiTheme="minorEastAsia" w:hAnsiTheme="minorEastAsia"/>
          <w:b/>
          <w:color w:val="auto"/>
          <w:sz w:val="32"/>
          <w:lang w:val="en-US" w:eastAsia="zh-CN"/>
        </w:rPr>
        <w:t>技术要求响应、服务方案（评分标准要求提供的其他材料）</w:t>
      </w:r>
    </w:p>
    <w:p w14:paraId="7D52B2DE">
      <w:pPr>
        <w:spacing w:line="360" w:lineRule="auto"/>
        <w:ind w:firstLine="280"/>
        <w:jc w:val="center"/>
        <w:rPr>
          <w:rFonts w:cs="Times New Roman" w:asciiTheme="minorEastAsia" w:hAnsiTheme="minorEastAsia"/>
          <w:color w:val="auto"/>
          <w:sz w:val="28"/>
        </w:rPr>
      </w:pPr>
      <w:r>
        <w:rPr>
          <w:rFonts w:cs="宋体" w:asciiTheme="minorEastAsia" w:hAnsiTheme="minorEastAsia"/>
          <w:color w:val="auto"/>
          <w:sz w:val="28"/>
        </w:rPr>
        <w:t>（格式自拟）</w:t>
      </w:r>
    </w:p>
    <w:p w14:paraId="70D685E7">
      <w:pPr>
        <w:spacing w:line="360" w:lineRule="auto"/>
        <w:ind w:firstLine="280"/>
        <w:jc w:val="center"/>
        <w:rPr>
          <w:rFonts w:ascii="Times New Roman" w:hAnsi="Times New Roman" w:cs="Times New Roman"/>
          <w:b/>
          <w:color w:val="auto"/>
          <w:sz w:val="28"/>
        </w:rPr>
      </w:pPr>
      <w:r>
        <w:rPr>
          <w:rFonts w:ascii="Times New Roman" w:hAnsi="Times New Roman" w:eastAsia="Times New Roman" w:cs="Times New Roman"/>
          <w:b/>
          <w:color w:val="auto"/>
          <w:sz w:val="28"/>
        </w:rPr>
        <w:t xml:space="preserve"> </w:t>
      </w:r>
    </w:p>
    <w:p w14:paraId="32CE5865">
      <w:pPr>
        <w:widowControl/>
        <w:jc w:val="left"/>
        <w:rPr>
          <w:rFonts w:ascii="宋体" w:hAnsi="宋体" w:eastAsia="宋体" w:cs="宋体"/>
          <w:b/>
          <w:color w:val="auto"/>
          <w:sz w:val="44"/>
        </w:rPr>
      </w:pPr>
      <w:r>
        <w:rPr>
          <w:rFonts w:ascii="宋体" w:hAnsi="宋体" w:eastAsia="宋体" w:cs="宋体"/>
          <w:b/>
          <w:color w:val="auto"/>
          <w:sz w:val="44"/>
        </w:rPr>
        <w:br w:type="page"/>
      </w:r>
    </w:p>
    <w:p w14:paraId="1170DA1C">
      <w:pPr>
        <w:pStyle w:val="3"/>
        <w:jc w:val="center"/>
        <w:rPr>
          <w:rFonts w:ascii="华文中宋" w:hAnsi="华文中宋" w:eastAsia="华文中宋" w:cs="宋体"/>
          <w:b w:val="0"/>
          <w:color w:val="auto"/>
        </w:rPr>
      </w:pPr>
      <w:bookmarkStart w:id="3" w:name="_Toc68619134"/>
      <w:bookmarkStart w:id="4" w:name="_Toc66971934"/>
      <w:r>
        <w:rPr>
          <w:rFonts w:ascii="华文中宋" w:hAnsi="华文中宋" w:eastAsia="华文中宋" w:cs="宋体"/>
          <w:b w:val="0"/>
          <w:color w:val="auto"/>
        </w:rPr>
        <w:t>第三章</w:t>
      </w:r>
      <w:r>
        <w:rPr>
          <w:rFonts w:hint="eastAsia" w:ascii="华文中宋" w:hAnsi="华文中宋" w:eastAsia="华文中宋" w:cs="宋体"/>
          <w:b w:val="0"/>
          <w:color w:val="auto"/>
        </w:rPr>
        <w:t xml:space="preserve"> </w:t>
      </w:r>
      <w:r>
        <w:rPr>
          <w:rFonts w:ascii="华文中宋" w:hAnsi="华文中宋" w:eastAsia="华文中宋" w:cs="宋体"/>
          <w:b w:val="0"/>
          <w:color w:val="auto"/>
        </w:rPr>
        <w:t>资格证明文件</w:t>
      </w:r>
      <w:bookmarkEnd w:id="3"/>
      <w:bookmarkEnd w:id="4"/>
    </w:p>
    <w:p w14:paraId="05C0A551">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一、比选申请人应提交的资格证明材料</w:t>
      </w:r>
    </w:p>
    <w:p w14:paraId="7826CED0">
      <w:pPr>
        <w:spacing w:before="80" w:after="80" w:line="360" w:lineRule="auto"/>
        <w:ind w:firstLine="480" w:firstLineChars="200"/>
        <w:rPr>
          <w:rFonts w:cs="宋体" w:asciiTheme="minorEastAsia" w:hAnsiTheme="minorEastAsia"/>
          <w:b/>
          <w:bCs/>
          <w:color w:val="auto"/>
          <w:sz w:val="24"/>
          <w:szCs w:val="24"/>
        </w:rPr>
      </w:pPr>
      <w:r>
        <w:rPr>
          <w:rFonts w:hint="eastAsia" w:cs="宋体" w:asciiTheme="minorEastAsia" w:hAnsiTheme="minorEastAsia"/>
          <w:b/>
          <w:bCs/>
          <w:color w:val="auto"/>
          <w:sz w:val="24"/>
          <w:szCs w:val="24"/>
        </w:rPr>
        <w:t>（一）比选申请人资格和资质性要求的相关证明材料：</w:t>
      </w:r>
    </w:p>
    <w:p w14:paraId="626A11D4">
      <w:pPr>
        <w:spacing w:before="80" w:after="80" w:line="360" w:lineRule="auto"/>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1、在中华人民共和国境内依法注册的法人或者其他组织的证明材料（①比选申请人若为企业法人的，提供统一社会信用代码营业执照，未换证的企业也可同时提供营业执照、税务登记证、组织机构代码证；②比选申请人若为事业法人，提供统一社会信用代码法人登记证书，未换证的事业法人也可同时提交事业法人登记证书和组织机构代码证；③比选申请人若为其他组织，提供对应主管部门颁发的准许执业证明文件或营业执照。以上证件均提供复印件）</w:t>
      </w:r>
    </w:p>
    <w:p w14:paraId="61D10475">
      <w:pPr>
        <w:spacing w:before="80" w:after="80" w:line="360" w:lineRule="auto"/>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2、具有良好的商业信誉和健全的财务会计制度的证明材料可提供承诺函原件，格式详见第二章“承诺函”}。</w:t>
      </w:r>
    </w:p>
    <w:p w14:paraId="165541B4">
      <w:pPr>
        <w:spacing w:before="80" w:after="80" w:line="360" w:lineRule="auto"/>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3、具有依法缴纳税收和社会保障资金的良好记录的证明材料{可提供承诺函原件，格式详见第二章“承诺函”}。</w:t>
      </w:r>
    </w:p>
    <w:p w14:paraId="1B13463B">
      <w:pPr>
        <w:spacing w:before="80" w:after="80" w:line="360" w:lineRule="auto"/>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4、具备履行合同所必需的设备和专业技术能力的证明材料（可提供承诺函原件，格式详见第二章“承诺函”）；</w:t>
      </w:r>
    </w:p>
    <w:p w14:paraId="4B14CCAA">
      <w:pPr>
        <w:spacing w:before="80" w:after="80" w:line="360" w:lineRule="auto"/>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5、参加比选活动前三年内在经营活动中没有重大违法记录的证明材料（可提供承诺函原件，格式详见第二章“承诺函”）；</w:t>
      </w:r>
    </w:p>
    <w:p w14:paraId="3BAFB3F2">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6</w:t>
      </w:r>
      <w:r>
        <w:rPr>
          <w:rFonts w:hint="eastAsia" w:cs="宋体" w:asciiTheme="minorEastAsia" w:hAnsiTheme="minorEastAsia"/>
          <w:color w:val="auto"/>
          <w:sz w:val="24"/>
          <w:szCs w:val="24"/>
        </w:rPr>
        <w:t>、比选申请人还符合法律、行政法规规定的其他强制性条件。（可提供承诺函原件，格式详见第二章“承诺函”）</w:t>
      </w:r>
    </w:p>
    <w:p w14:paraId="00DF995F">
      <w:pPr>
        <w:spacing w:before="80" w:after="80" w:line="360" w:lineRule="auto"/>
        <w:ind w:firstLine="480" w:firstLineChars="200"/>
        <w:rPr>
          <w:rFonts w:cs="宋体" w:asciiTheme="minorEastAsia" w:hAnsiTheme="minorEastAsia"/>
          <w:b/>
          <w:bCs/>
          <w:color w:val="auto"/>
          <w:sz w:val="24"/>
          <w:szCs w:val="24"/>
        </w:rPr>
      </w:pPr>
      <w:r>
        <w:rPr>
          <w:rFonts w:hint="eastAsia" w:cs="宋体" w:asciiTheme="minorEastAsia" w:hAnsiTheme="minorEastAsia"/>
          <w:b/>
          <w:bCs/>
          <w:color w:val="auto"/>
          <w:sz w:val="24"/>
          <w:szCs w:val="24"/>
        </w:rPr>
        <w:t>（二）其他类似效力要求相关证明材料：</w:t>
      </w:r>
    </w:p>
    <w:p w14:paraId="6B5B703A">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1</w:t>
      </w:r>
      <w:r>
        <w:rPr>
          <w:rFonts w:hint="eastAsia" w:cs="宋体" w:asciiTheme="minorEastAsia" w:hAnsiTheme="minorEastAsia"/>
          <w:color w:val="auto"/>
          <w:sz w:val="24"/>
          <w:szCs w:val="24"/>
        </w:rPr>
        <w:t>、非法定代表人参与比选并签署响应文件时，提供法定代表人授权书原件以及法定代表人和授权代表的身份证复印件（提供身份证有困难的，也可提供户口本或军官证或护照等身份证明材料）；</w:t>
      </w:r>
    </w:p>
    <w:p w14:paraId="64EA1F3A">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w:t>
      </w:r>
      <w:r>
        <w:rPr>
          <w:rFonts w:hint="eastAsia" w:cs="宋体" w:asciiTheme="minorEastAsia" w:hAnsiTheme="minorEastAsia"/>
          <w:color w:val="auto"/>
          <w:sz w:val="24"/>
          <w:szCs w:val="24"/>
        </w:rPr>
        <w:t>、法定代表人直接参与比选并签署响应文件时，提供法定代表人证明书原件和法定代表人身份证复印件（提供身份证有困难的，也可提供户口本或军官证或护照等身份证明材料）。</w:t>
      </w:r>
    </w:p>
    <w:p w14:paraId="20CA9AF2">
      <w:pPr>
        <w:spacing w:before="80" w:after="80" w:line="360" w:lineRule="auto"/>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注：</w:t>
      </w:r>
    </w:p>
    <w:p w14:paraId="650DE8F7">
      <w:pPr>
        <w:spacing w:before="80" w:after="80" w:line="360" w:lineRule="auto"/>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1、以上要求的资料复印件均必须加盖比选申请人单位的公章（鲜章）。</w:t>
      </w:r>
    </w:p>
    <w:p w14:paraId="63F94ADD">
      <w:pPr>
        <w:spacing w:before="80" w:after="80" w:line="360" w:lineRule="auto"/>
        <w:ind w:firstLine="480" w:firstLineChars="200"/>
        <w:rPr>
          <w:rFonts w:cs="宋体" w:asciiTheme="minorEastAsia" w:hAnsiTheme="minorEastAsia"/>
          <w:color w:val="auto"/>
          <w:sz w:val="24"/>
          <w:szCs w:val="24"/>
        </w:rPr>
      </w:pPr>
    </w:p>
    <w:p w14:paraId="27B8C1F5">
      <w:pPr>
        <w:widowControl/>
        <w:jc w:val="left"/>
        <w:rPr>
          <w:rFonts w:cs="宋体" w:asciiTheme="minorEastAsia" w:hAnsiTheme="minorEastAsia"/>
          <w:color w:val="auto"/>
          <w:sz w:val="24"/>
          <w:szCs w:val="24"/>
        </w:rPr>
      </w:pPr>
      <w:r>
        <w:rPr>
          <w:rFonts w:cs="宋体" w:asciiTheme="minorEastAsia" w:hAnsiTheme="minorEastAsia"/>
          <w:color w:val="auto"/>
          <w:sz w:val="24"/>
          <w:szCs w:val="24"/>
        </w:rPr>
        <w:br w:type="page"/>
      </w:r>
    </w:p>
    <w:p w14:paraId="57BE13E2">
      <w:pPr>
        <w:pStyle w:val="3"/>
        <w:jc w:val="center"/>
        <w:rPr>
          <w:rFonts w:ascii="华文中宋" w:hAnsi="华文中宋" w:eastAsia="华文中宋" w:cs="宋体"/>
          <w:b w:val="0"/>
          <w:color w:val="auto"/>
        </w:rPr>
      </w:pPr>
      <w:bookmarkStart w:id="5" w:name="_Toc68619135"/>
      <w:bookmarkStart w:id="6" w:name="_Toc66971935"/>
      <w:r>
        <w:rPr>
          <w:rFonts w:hint="eastAsia" w:ascii="华文中宋" w:hAnsi="华文中宋" w:eastAsia="华文中宋" w:cs="宋体"/>
          <w:b w:val="0"/>
          <w:color w:val="auto"/>
        </w:rPr>
        <w:t xml:space="preserve">第四章 </w:t>
      </w:r>
      <w:r>
        <w:rPr>
          <w:rFonts w:ascii="华文中宋" w:hAnsi="华文中宋" w:eastAsia="华文中宋" w:cs="宋体"/>
          <w:b w:val="0"/>
          <w:color w:val="auto"/>
        </w:rPr>
        <w:t>比选需求</w:t>
      </w:r>
      <w:bookmarkEnd w:id="5"/>
      <w:bookmarkEnd w:id="6"/>
    </w:p>
    <w:p w14:paraId="0E3C38E2">
      <w:pPr>
        <w:spacing w:before="80" w:after="80" w:line="360" w:lineRule="auto"/>
        <w:ind w:firstLine="480" w:firstLineChars="200"/>
        <w:rPr>
          <w:rFonts w:cs="宋体" w:asciiTheme="minorEastAsia" w:hAnsiTheme="minorEastAsia"/>
          <w:b/>
          <w:bCs/>
          <w:color w:val="auto"/>
          <w:sz w:val="24"/>
          <w:szCs w:val="24"/>
        </w:rPr>
      </w:pPr>
      <w:r>
        <w:rPr>
          <w:rFonts w:hint="eastAsia" w:cs="宋体" w:asciiTheme="minorEastAsia" w:hAnsiTheme="minorEastAsia"/>
          <w:b/>
          <w:bCs/>
          <w:color w:val="auto"/>
          <w:sz w:val="24"/>
          <w:szCs w:val="24"/>
        </w:rPr>
        <w:t>前提：本章中</w:t>
      </w:r>
      <w:r>
        <w:rPr>
          <w:rFonts w:hint="eastAsia" w:cs="宋体" w:asciiTheme="minorEastAsia" w:hAnsiTheme="minorEastAsia"/>
          <w:b/>
          <w:bCs/>
          <w:color w:val="auto"/>
          <w:sz w:val="24"/>
          <w:szCs w:val="24"/>
          <w:lang w:val="en-US" w:eastAsia="zh-CN"/>
        </w:rPr>
        <w:t>标注“*”</w:t>
      </w:r>
      <w:r>
        <w:rPr>
          <w:rFonts w:hint="eastAsia" w:cs="宋体" w:asciiTheme="minorEastAsia" w:hAnsiTheme="minorEastAsia"/>
          <w:b/>
          <w:bCs/>
          <w:color w:val="auto"/>
          <w:sz w:val="24"/>
          <w:szCs w:val="24"/>
        </w:rPr>
        <w:t>内容为本项目的实质性要求条款，比选申请人不满足的，符合性审查时将不予通过，其比选申请文件将被否决。</w:t>
      </w:r>
    </w:p>
    <w:p w14:paraId="16CDE7EA">
      <w:pPr>
        <w:keepNext/>
        <w:keepLines/>
        <w:tabs>
          <w:tab w:val="left" w:pos="720"/>
        </w:tabs>
        <w:spacing w:before="260" w:after="260" w:line="360" w:lineRule="auto"/>
        <w:outlineLvl w:val="1"/>
        <w:rPr>
          <w:rFonts w:ascii="华文中宋" w:hAnsi="华文中宋" w:eastAsia="华文中宋" w:cs="宋体"/>
          <w:b/>
          <w:iCs/>
          <w:color w:val="auto"/>
          <w:sz w:val="24"/>
          <w:szCs w:val="24"/>
        </w:rPr>
      </w:pPr>
      <w:r>
        <w:rPr>
          <w:rFonts w:hint="eastAsia" w:ascii="华文中宋" w:hAnsi="华文中宋" w:eastAsia="华文中宋" w:cs="宋体"/>
          <w:b/>
          <w:iCs/>
          <w:color w:val="auto"/>
          <w:sz w:val="24"/>
          <w:szCs w:val="24"/>
        </w:rPr>
        <w:t>一、项目概述</w:t>
      </w:r>
    </w:p>
    <w:p w14:paraId="0E4414DC">
      <w:pPr>
        <w:pStyle w:val="2"/>
        <w:keepNext w:val="0"/>
        <w:keepLines w:val="0"/>
        <w:pageBreakBefore w:val="0"/>
        <w:kinsoku/>
        <w:wordWrap/>
        <w:overflowPunct/>
        <w:topLinePunct w:val="0"/>
        <w:autoSpaceDE/>
        <w:autoSpaceDN/>
        <w:bidi w:val="0"/>
        <w:spacing w:line="440" w:lineRule="exact"/>
        <w:textAlignment w:val="auto"/>
        <w:rPr>
          <w:color w:val="auto"/>
        </w:rPr>
      </w:pPr>
      <w:r>
        <w:rPr>
          <w:rFonts w:hint="eastAsia" w:ascii="仿宋" w:hAnsi="仿宋" w:eastAsia="仿宋" w:cs="仿宋"/>
          <w:color w:val="auto"/>
          <w:spacing w:val="-10"/>
          <w:kern w:val="2"/>
          <w:sz w:val="24"/>
          <w:szCs w:val="24"/>
          <w:lang w:val="en-US" w:eastAsia="zh-CN" w:bidi="ar-SA"/>
        </w:rPr>
        <w:t>负责医院污水、废水、废气、院感环境监测服务，</w:t>
      </w:r>
    </w:p>
    <w:p w14:paraId="6D38731D">
      <w:pPr>
        <w:pStyle w:val="4"/>
        <w:jc w:val="both"/>
        <w:rPr>
          <w:rFonts w:ascii="华文中宋" w:hAnsi="华文中宋" w:eastAsia="华文中宋" w:cs="宋体"/>
          <w:bCs w:val="0"/>
          <w:color w:val="auto"/>
          <w:sz w:val="24"/>
          <w:szCs w:val="24"/>
        </w:rPr>
      </w:pPr>
      <w:r>
        <w:rPr>
          <w:rFonts w:hint="eastAsia" w:ascii="华文中宋" w:hAnsi="华文中宋" w:eastAsia="华文中宋" w:cs="宋体"/>
          <w:bCs w:val="0"/>
          <w:color w:val="auto"/>
          <w:sz w:val="24"/>
          <w:szCs w:val="24"/>
          <w:lang w:val="en-US" w:eastAsia="zh-CN"/>
        </w:rPr>
        <w:t>*</w:t>
      </w:r>
      <w:r>
        <w:rPr>
          <w:rFonts w:hint="eastAsia" w:ascii="华文中宋" w:hAnsi="华文中宋" w:eastAsia="华文中宋" w:cs="宋体"/>
          <w:bCs w:val="0"/>
          <w:color w:val="auto"/>
          <w:sz w:val="24"/>
          <w:szCs w:val="24"/>
        </w:rPr>
        <w:t>二、商务要求</w:t>
      </w:r>
    </w:p>
    <w:p w14:paraId="0BE5CAE5">
      <w:pPr>
        <w:pStyle w:val="9"/>
        <w:spacing w:line="360"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1、服务期限：</w:t>
      </w:r>
    </w:p>
    <w:p w14:paraId="1C105CC1">
      <w:pPr>
        <w:pStyle w:val="9"/>
        <w:spacing w:line="360" w:lineRule="auto"/>
        <w:rPr>
          <w:rFonts w:hint="default" w:ascii="仿宋" w:hAnsi="仿宋" w:eastAsia="仿宋" w:cs="仿宋"/>
          <w:color w:val="auto"/>
          <w:spacing w:val="-10"/>
          <w:sz w:val="24"/>
          <w:szCs w:val="24"/>
          <w:lang w:val="en-US" w:eastAsia="zh-CN"/>
        </w:rPr>
      </w:pPr>
      <w:r>
        <w:rPr>
          <w:rFonts w:hint="eastAsia" w:ascii="仿宋" w:hAnsi="仿宋" w:eastAsia="仿宋" w:cs="仿宋"/>
          <w:color w:val="auto"/>
          <w:sz w:val="24"/>
          <w:szCs w:val="24"/>
        </w:rPr>
        <w:t>签订合同之后</w:t>
      </w:r>
      <w:r>
        <w:rPr>
          <w:rFonts w:hint="eastAsia" w:ascii="仿宋" w:hAnsi="仿宋" w:eastAsia="仿宋" w:cs="仿宋"/>
          <w:color w:val="auto"/>
          <w:sz w:val="24"/>
          <w:szCs w:val="24"/>
          <w:lang w:val="en-US" w:eastAsia="zh-CN"/>
        </w:rPr>
        <w:t>1年。</w:t>
      </w:r>
    </w:p>
    <w:p w14:paraId="54116EA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pacing w:val="-10"/>
          <w:sz w:val="24"/>
          <w:szCs w:val="24"/>
          <w:lang w:val="en-US" w:eastAsia="zh-CN"/>
        </w:rPr>
      </w:pPr>
      <w:r>
        <w:rPr>
          <w:rFonts w:hint="eastAsia" w:ascii="仿宋" w:hAnsi="仿宋" w:eastAsia="仿宋" w:cs="仿宋"/>
          <w:b/>
          <w:bCs/>
          <w:color w:val="auto"/>
          <w:spacing w:val="-10"/>
          <w:sz w:val="24"/>
          <w:szCs w:val="24"/>
          <w:lang w:val="en-US" w:eastAsia="zh-CN"/>
        </w:rPr>
        <w:t>2、服务地点：</w:t>
      </w:r>
    </w:p>
    <w:p w14:paraId="25655E05">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pacing w:val="-10"/>
          <w:sz w:val="24"/>
          <w:szCs w:val="24"/>
          <w:lang w:val="en-US" w:eastAsia="zh-CN"/>
        </w:rPr>
      </w:pPr>
      <w:r>
        <w:rPr>
          <w:rFonts w:hint="eastAsia" w:ascii="仿宋" w:hAnsi="仿宋" w:eastAsia="仿宋" w:cs="仿宋"/>
          <w:color w:val="auto"/>
          <w:spacing w:val="-10"/>
          <w:sz w:val="24"/>
          <w:szCs w:val="24"/>
          <w:lang w:val="en-US" w:eastAsia="zh-CN"/>
        </w:rPr>
        <w:t>成都市成华区长秀路133号，成都市成华区中医医院</w:t>
      </w:r>
    </w:p>
    <w:p w14:paraId="1B3897F8">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i w:val="0"/>
          <w:iCs w:val="0"/>
          <w:color w:val="auto"/>
          <w:sz w:val="24"/>
          <w:szCs w:val="24"/>
          <w:lang w:val="en-US" w:eastAsia="zh-CN"/>
        </w:rPr>
      </w:pPr>
      <w:r>
        <w:rPr>
          <w:rFonts w:hint="eastAsia" w:ascii="仿宋" w:hAnsi="仿宋" w:eastAsia="仿宋" w:cs="仿宋"/>
          <w:b/>
          <w:bCs/>
          <w:i w:val="0"/>
          <w:iCs w:val="0"/>
          <w:color w:val="auto"/>
          <w:sz w:val="24"/>
          <w:szCs w:val="24"/>
          <w:lang w:val="en-US" w:eastAsia="zh-CN"/>
        </w:rPr>
        <w:t>3、付款方式：</w:t>
      </w:r>
    </w:p>
    <w:p w14:paraId="73B9E5FB">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采购方通过银行转账方式向供应商支付款项。</w:t>
      </w:r>
    </w:p>
    <w:p w14:paraId="4DA9F23A">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i w:val="0"/>
          <w:iCs w:val="0"/>
          <w:color w:val="auto"/>
          <w:sz w:val="24"/>
          <w:szCs w:val="24"/>
          <w:lang w:val="en-US" w:eastAsia="zh-CN"/>
        </w:rPr>
      </w:pPr>
      <w:r>
        <w:rPr>
          <w:rFonts w:hint="eastAsia" w:ascii="仿宋" w:hAnsi="仿宋" w:eastAsia="仿宋" w:cs="仿宋"/>
          <w:b/>
          <w:bCs/>
          <w:i w:val="0"/>
          <w:iCs w:val="0"/>
          <w:color w:val="auto"/>
          <w:sz w:val="24"/>
          <w:szCs w:val="24"/>
          <w:lang w:val="en-US" w:eastAsia="zh-CN"/>
        </w:rPr>
        <w:t>4、付款条件：</w:t>
      </w:r>
    </w:p>
    <w:p w14:paraId="5E875E3C">
      <w:pPr>
        <w:pStyle w:val="4"/>
        <w:jc w:val="both"/>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合同签订后，成交供应商收到采购人监测通知，经验收合格后，采购人在收到成交供应商的合法有效发票后10个工作日内据实支付监测项目款项。</w:t>
      </w:r>
    </w:p>
    <w:p w14:paraId="41C80015">
      <w:pPr>
        <w:pStyle w:val="4"/>
        <w:numPr>
          <w:ilvl w:val="0"/>
          <w:numId w:val="1"/>
        </w:numPr>
        <w:ind w:left="0" w:leftChars="0" w:firstLine="482" w:firstLineChars="0"/>
        <w:jc w:val="both"/>
        <w:rPr>
          <w:rFonts w:hint="eastAsia" w:ascii="华文中宋" w:hAnsi="华文中宋" w:eastAsia="华文中宋" w:cs="宋体"/>
          <w:bCs w:val="0"/>
          <w:color w:val="auto"/>
          <w:sz w:val="22"/>
          <w:szCs w:val="24"/>
        </w:rPr>
      </w:pPr>
      <w:r>
        <w:rPr>
          <w:rFonts w:ascii="华文中宋" w:hAnsi="华文中宋" w:eastAsia="华文中宋" w:cs="宋体"/>
          <w:bCs w:val="0"/>
          <w:color w:val="auto"/>
          <w:sz w:val="24"/>
          <w:szCs w:val="24"/>
        </w:rPr>
        <w:t>技术要求</w:t>
      </w:r>
      <w:r>
        <w:rPr>
          <w:rFonts w:hint="eastAsia" w:ascii="华文中宋" w:hAnsi="华文中宋" w:eastAsia="华文中宋" w:cs="宋体"/>
          <w:bCs w:val="0"/>
          <w:color w:val="auto"/>
          <w:sz w:val="24"/>
          <w:szCs w:val="24"/>
        </w:rPr>
        <w:t xml:space="preserve"> </w:t>
      </w:r>
      <w:r>
        <w:rPr>
          <w:rFonts w:hint="eastAsia" w:ascii="华文中宋" w:hAnsi="华文中宋" w:eastAsia="华文中宋" w:cs="宋体"/>
          <w:bCs w:val="0"/>
          <w:color w:val="auto"/>
          <w:sz w:val="22"/>
          <w:szCs w:val="24"/>
        </w:rPr>
        <w:t>（参数中涉及到固定尺寸、重量、容积的允许±5%的偏差）</w:t>
      </w:r>
    </w:p>
    <w:p w14:paraId="44915784">
      <w:pPr>
        <w:numPr>
          <w:ilvl w:val="0"/>
          <w:numId w:val="0"/>
        </w:numPr>
        <w:ind w:left="482" w:leftChars="0"/>
        <w:rPr>
          <w:rFonts w:hint="default" w:eastAsiaTheme="minorEastAsia"/>
          <w:color w:val="auto"/>
          <w:lang w:val="en-US" w:eastAsia="zh-CN"/>
        </w:rPr>
      </w:pPr>
      <w:r>
        <w:rPr>
          <w:rFonts w:hint="eastAsia"/>
          <w:color w:val="auto"/>
          <w:lang w:val="en-US" w:eastAsia="zh-CN"/>
        </w:rPr>
        <w:t>*监测项目</w:t>
      </w:r>
    </w:p>
    <w:tbl>
      <w:tblPr>
        <w:tblStyle w:val="6"/>
        <w:tblW w:w="9024" w:type="dxa"/>
        <w:tblInd w:w="0" w:type="dxa"/>
        <w:shd w:val="clear" w:color="auto" w:fill="auto"/>
        <w:tblLayout w:type="fixed"/>
        <w:tblCellMar>
          <w:top w:w="0" w:type="dxa"/>
          <w:left w:w="0" w:type="dxa"/>
          <w:bottom w:w="0" w:type="dxa"/>
          <w:right w:w="0" w:type="dxa"/>
        </w:tblCellMar>
      </w:tblPr>
      <w:tblGrid>
        <w:gridCol w:w="1284"/>
        <w:gridCol w:w="5280"/>
        <w:gridCol w:w="1395"/>
        <w:gridCol w:w="1065"/>
      </w:tblGrid>
      <w:tr w14:paraId="503DAA6B">
        <w:tblPrEx>
          <w:shd w:val="clear" w:color="auto" w:fill="auto"/>
          <w:tblCellMar>
            <w:top w:w="0" w:type="dxa"/>
            <w:left w:w="0" w:type="dxa"/>
            <w:bottom w:w="0" w:type="dxa"/>
            <w:right w:w="0" w:type="dxa"/>
          </w:tblCellMar>
        </w:tblPrEx>
        <w:trPr>
          <w:trHeight w:val="675"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3C877">
            <w:pPr>
              <w:keepNext w:val="0"/>
              <w:keepLines w:val="0"/>
              <w:widowControl/>
              <w:suppressLineNumbers w:val="0"/>
              <w:jc w:val="center"/>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监测项目</w:t>
            </w: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EA88B">
            <w:pPr>
              <w:keepNext w:val="0"/>
              <w:keepLines w:val="0"/>
              <w:widowControl/>
              <w:suppressLineNumbers w:val="0"/>
              <w:jc w:val="center"/>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监测内容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00F32">
            <w:pPr>
              <w:keepNext w:val="0"/>
              <w:keepLines w:val="0"/>
              <w:widowControl/>
              <w:suppressLineNumbers w:val="0"/>
              <w:jc w:val="center"/>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监测位置/区域</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631B9">
            <w:pPr>
              <w:keepNext w:val="0"/>
              <w:keepLines w:val="0"/>
              <w:widowControl/>
              <w:suppressLineNumbers w:val="0"/>
              <w:jc w:val="center"/>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监测频率</w:t>
            </w:r>
          </w:p>
        </w:tc>
      </w:tr>
      <w:tr w14:paraId="153C05DD">
        <w:tblPrEx>
          <w:shd w:val="clear" w:color="auto" w:fill="auto"/>
          <w:tblCellMar>
            <w:top w:w="0" w:type="dxa"/>
            <w:left w:w="0" w:type="dxa"/>
            <w:bottom w:w="0" w:type="dxa"/>
            <w:right w:w="0" w:type="dxa"/>
          </w:tblCellMar>
        </w:tblPrEx>
        <w:trPr>
          <w:trHeight w:val="675" w:hRule="atLeast"/>
        </w:trPr>
        <w:tc>
          <w:tcPr>
            <w:tcW w:w="12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9E9AABF">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院感</w:t>
            </w: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BFA09">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物体表面（工作台面）菌落总数、医务人员手表面菌落总数、空气中细菌总数、低度医疗器械、使用中的消毒剂</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DDE80">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各科室</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E1213">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w:t>
            </w:r>
          </w:p>
        </w:tc>
      </w:tr>
      <w:tr w14:paraId="2EFE3BED">
        <w:tblPrEx>
          <w:tblCellMar>
            <w:top w:w="0" w:type="dxa"/>
            <w:left w:w="0" w:type="dxa"/>
            <w:bottom w:w="0" w:type="dxa"/>
            <w:right w:w="0" w:type="dxa"/>
          </w:tblCellMar>
        </w:tblPrEx>
        <w:trPr>
          <w:trHeight w:val="675" w:hRule="atLeast"/>
        </w:trPr>
        <w:tc>
          <w:tcPr>
            <w:tcW w:w="12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9BD0ED9">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内镜室</w:t>
            </w: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4794D">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 xml:space="preserve">滤膜过滤浓缩法监测+洗脱液细菌培养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9CB03">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内镜</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F0C3F">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w:t>
            </w:r>
          </w:p>
        </w:tc>
      </w:tr>
      <w:tr w14:paraId="1658D334">
        <w:tblPrEx>
          <w:shd w:val="clear" w:color="auto" w:fill="auto"/>
          <w:tblCellMar>
            <w:top w:w="0" w:type="dxa"/>
            <w:left w:w="0" w:type="dxa"/>
            <w:bottom w:w="0" w:type="dxa"/>
            <w:right w:w="0" w:type="dxa"/>
          </w:tblCellMar>
        </w:tblPrEx>
        <w:trPr>
          <w:trHeight w:val="675" w:hRule="atLeast"/>
        </w:trPr>
        <w:tc>
          <w:tcPr>
            <w:tcW w:w="1284" w:type="dxa"/>
            <w:vMerge w:val="restart"/>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14:paraId="72FBC4FE">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手术室</w:t>
            </w:r>
          </w:p>
        </w:tc>
        <w:tc>
          <w:tcPr>
            <w:tcW w:w="5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EA2B7">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空气洁净度、温度、相对湿度、照度、噪声、风速风量、静压差、换气次数、细菌浓度、悬浮粒子</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0DF73">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百级</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07CE6">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w:t>
            </w:r>
          </w:p>
        </w:tc>
      </w:tr>
      <w:tr w14:paraId="1F4663FB">
        <w:tblPrEx>
          <w:shd w:val="clear" w:color="auto" w:fill="auto"/>
          <w:tblCellMar>
            <w:top w:w="0" w:type="dxa"/>
            <w:left w:w="0" w:type="dxa"/>
            <w:bottom w:w="0" w:type="dxa"/>
            <w:right w:w="0" w:type="dxa"/>
          </w:tblCellMar>
        </w:tblPrEx>
        <w:trPr>
          <w:trHeight w:val="675" w:hRule="atLeast"/>
        </w:trPr>
        <w:tc>
          <w:tcPr>
            <w:tcW w:w="1284" w:type="dxa"/>
            <w:vMerge w:val="continue"/>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14:paraId="66ADF74C">
            <w:pPr>
              <w:rPr>
                <w:rFonts w:hint="eastAsia" w:ascii="方正仿宋简体" w:hAnsi="方正仿宋简体" w:eastAsia="方正仿宋简体" w:cs="方正仿宋简体"/>
                <w:i w:val="0"/>
                <w:color w:val="auto"/>
                <w:sz w:val="20"/>
                <w:szCs w:val="20"/>
                <w:u w:val="none"/>
              </w:rPr>
            </w:pP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962DE">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空气洁净度、温度、相对湿度、照度、噪声、风速风量、静压差、换气次数、细菌浓度、悬浮粒子、沉降菌</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96AD9">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万级</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4E560">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w:t>
            </w:r>
          </w:p>
        </w:tc>
      </w:tr>
      <w:tr w14:paraId="50FB0299">
        <w:tblPrEx>
          <w:shd w:val="clear" w:color="auto" w:fill="auto"/>
          <w:tblCellMar>
            <w:top w:w="0" w:type="dxa"/>
            <w:left w:w="0" w:type="dxa"/>
            <w:bottom w:w="0" w:type="dxa"/>
            <w:right w:w="0" w:type="dxa"/>
          </w:tblCellMar>
        </w:tblPrEx>
        <w:trPr>
          <w:trHeight w:val="675" w:hRule="atLeast"/>
        </w:trPr>
        <w:tc>
          <w:tcPr>
            <w:tcW w:w="1284" w:type="dxa"/>
            <w:vMerge w:val="continue"/>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14:paraId="78731966">
            <w:pPr>
              <w:rPr>
                <w:rFonts w:hint="eastAsia" w:ascii="方正仿宋简体" w:hAnsi="方正仿宋简体" w:eastAsia="方正仿宋简体" w:cs="方正仿宋简体"/>
                <w:i w:val="0"/>
                <w:color w:val="auto"/>
                <w:sz w:val="20"/>
                <w:szCs w:val="20"/>
                <w:u w:val="none"/>
              </w:rPr>
            </w:pP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9D797">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空气洁净度、温度、相对湿度、照度、噪声、风速风量、静压差、换气次数、细菌浓度、悬浮粒子、沉降菌</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6DA36">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百级前室</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9A338">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w:t>
            </w:r>
          </w:p>
        </w:tc>
      </w:tr>
      <w:tr w14:paraId="2B909F5B">
        <w:tblPrEx>
          <w:shd w:val="clear" w:color="auto" w:fill="auto"/>
          <w:tblCellMar>
            <w:top w:w="0" w:type="dxa"/>
            <w:left w:w="0" w:type="dxa"/>
            <w:bottom w:w="0" w:type="dxa"/>
            <w:right w:w="0" w:type="dxa"/>
          </w:tblCellMar>
        </w:tblPrEx>
        <w:trPr>
          <w:trHeight w:val="675" w:hRule="atLeast"/>
        </w:trPr>
        <w:tc>
          <w:tcPr>
            <w:tcW w:w="1284" w:type="dxa"/>
            <w:vMerge w:val="continue"/>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14:paraId="0AA68820">
            <w:pPr>
              <w:rPr>
                <w:rFonts w:hint="eastAsia" w:ascii="方正仿宋简体" w:hAnsi="方正仿宋简体" w:eastAsia="方正仿宋简体" w:cs="方正仿宋简体"/>
                <w:i w:val="0"/>
                <w:color w:val="auto"/>
                <w:sz w:val="20"/>
                <w:szCs w:val="20"/>
                <w:u w:val="none"/>
              </w:rPr>
            </w:pP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E56A4">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空气洁净度、温度、相对湿度、照度、噪声、风速风量、静压差、换气次数、细菌浓度、悬浮粒子、沉降菌</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A9337">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C臂间、控制室</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A7F78">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w:t>
            </w:r>
          </w:p>
        </w:tc>
      </w:tr>
      <w:tr w14:paraId="1D8046B8">
        <w:tblPrEx>
          <w:tblCellMar>
            <w:top w:w="0" w:type="dxa"/>
            <w:left w:w="0" w:type="dxa"/>
            <w:bottom w:w="0" w:type="dxa"/>
            <w:right w:w="0" w:type="dxa"/>
          </w:tblCellMar>
        </w:tblPrEx>
        <w:trPr>
          <w:trHeight w:val="675" w:hRule="atLeast"/>
        </w:trPr>
        <w:tc>
          <w:tcPr>
            <w:tcW w:w="1284" w:type="dxa"/>
            <w:vMerge w:val="continue"/>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14:paraId="51327252">
            <w:pPr>
              <w:rPr>
                <w:rFonts w:hint="eastAsia" w:ascii="方正仿宋简体" w:hAnsi="方正仿宋简体" w:eastAsia="方正仿宋简体" w:cs="方正仿宋简体"/>
                <w:i w:val="0"/>
                <w:color w:val="auto"/>
                <w:sz w:val="20"/>
                <w:szCs w:val="20"/>
                <w:u w:val="none"/>
              </w:rPr>
            </w:pP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BF0C8">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空气洁净度、温度、相对湿度、照度、噪声、风速风量、静压差、换气次数、细菌浓度、悬浮粒子、沉降菌</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1D89E">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无菌库</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579DA">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w:t>
            </w:r>
          </w:p>
        </w:tc>
      </w:tr>
      <w:tr w14:paraId="45DCB061">
        <w:tblPrEx>
          <w:tblCellMar>
            <w:top w:w="0" w:type="dxa"/>
            <w:left w:w="0" w:type="dxa"/>
            <w:bottom w:w="0" w:type="dxa"/>
            <w:right w:w="0" w:type="dxa"/>
          </w:tblCellMar>
        </w:tblPrEx>
        <w:trPr>
          <w:trHeight w:val="675" w:hRule="atLeast"/>
        </w:trPr>
        <w:tc>
          <w:tcPr>
            <w:tcW w:w="1284" w:type="dxa"/>
            <w:vMerge w:val="continue"/>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14:paraId="726E9342">
            <w:pPr>
              <w:rPr>
                <w:rFonts w:hint="eastAsia" w:ascii="方正仿宋简体" w:hAnsi="方正仿宋简体" w:eastAsia="方正仿宋简体" w:cs="方正仿宋简体"/>
                <w:i w:val="0"/>
                <w:color w:val="auto"/>
                <w:sz w:val="20"/>
                <w:szCs w:val="20"/>
                <w:u w:val="none"/>
              </w:rPr>
            </w:pP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B6E8C">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空气洁净度、温度、相对湿度、照度、噪声、风速风量、静压差、换气次数、细菌浓度、悬浮粒子、沉降菌</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1457A">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清洁走廊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B3C0E">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w:t>
            </w:r>
          </w:p>
        </w:tc>
      </w:tr>
      <w:tr w14:paraId="3F91E9A0">
        <w:tblPrEx>
          <w:tblCellMar>
            <w:top w:w="0" w:type="dxa"/>
            <w:left w:w="0" w:type="dxa"/>
            <w:bottom w:w="0" w:type="dxa"/>
            <w:right w:w="0" w:type="dxa"/>
          </w:tblCellMar>
        </w:tblPrEx>
        <w:trPr>
          <w:trHeight w:val="675" w:hRule="atLeast"/>
        </w:trPr>
        <w:tc>
          <w:tcPr>
            <w:tcW w:w="1284" w:type="dxa"/>
            <w:vMerge w:val="continue"/>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14:paraId="59E12774">
            <w:pPr>
              <w:rPr>
                <w:rFonts w:hint="eastAsia" w:ascii="方正仿宋简体" w:hAnsi="方正仿宋简体" w:eastAsia="方正仿宋简体" w:cs="方正仿宋简体"/>
                <w:i w:val="0"/>
                <w:color w:val="auto"/>
                <w:sz w:val="20"/>
                <w:szCs w:val="20"/>
                <w:u w:val="none"/>
              </w:rPr>
            </w:pP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F5F44">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空气洁净度、温度、相对湿度、照度、噪声、风速风量、静压差、换气次数、细菌浓度、悬浮粒子、沉降菌</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5B132">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麻醉复苏室</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A1DF7">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w:t>
            </w:r>
          </w:p>
        </w:tc>
      </w:tr>
      <w:tr w14:paraId="260DB040">
        <w:tblPrEx>
          <w:tblCellMar>
            <w:top w:w="0" w:type="dxa"/>
            <w:left w:w="0" w:type="dxa"/>
            <w:bottom w:w="0" w:type="dxa"/>
            <w:right w:w="0" w:type="dxa"/>
          </w:tblCellMar>
        </w:tblPrEx>
        <w:trPr>
          <w:trHeight w:val="675" w:hRule="atLeast"/>
        </w:trPr>
        <w:tc>
          <w:tcPr>
            <w:tcW w:w="1284" w:type="dxa"/>
            <w:vMerge w:val="continue"/>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14:paraId="2DAD5FFA">
            <w:pPr>
              <w:rPr>
                <w:rFonts w:hint="eastAsia" w:ascii="方正仿宋简体" w:hAnsi="方正仿宋简体" w:eastAsia="方正仿宋简体" w:cs="方正仿宋简体"/>
                <w:i w:val="0"/>
                <w:color w:val="auto"/>
                <w:sz w:val="20"/>
                <w:szCs w:val="20"/>
                <w:u w:val="none"/>
              </w:rPr>
            </w:pP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FB645">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物体表面（治疗车台面、物品柜、手术床面）</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DF21D">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百级万级</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54D5E">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w:t>
            </w:r>
          </w:p>
        </w:tc>
      </w:tr>
      <w:tr w14:paraId="3022DCC1">
        <w:tblPrEx>
          <w:shd w:val="clear" w:color="auto" w:fill="auto"/>
          <w:tblCellMar>
            <w:top w:w="0" w:type="dxa"/>
            <w:left w:w="0" w:type="dxa"/>
            <w:bottom w:w="0" w:type="dxa"/>
            <w:right w:w="0" w:type="dxa"/>
          </w:tblCellMar>
        </w:tblPrEx>
        <w:trPr>
          <w:trHeight w:val="675" w:hRule="atLeast"/>
        </w:trPr>
        <w:tc>
          <w:tcPr>
            <w:tcW w:w="1284" w:type="dxa"/>
            <w:vMerge w:val="continue"/>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14:paraId="23A49652">
            <w:pPr>
              <w:rPr>
                <w:rFonts w:hint="eastAsia" w:ascii="方正仿宋简体" w:hAnsi="方正仿宋简体" w:eastAsia="方正仿宋简体" w:cs="方正仿宋简体"/>
                <w:i w:val="0"/>
                <w:color w:val="auto"/>
                <w:sz w:val="20"/>
                <w:szCs w:val="20"/>
                <w:u w:val="none"/>
              </w:rPr>
            </w:pP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603CF">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医务人员手表面菌落总数、使用中的消毒剂、器械</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8C04D">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手术室</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C9E95">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w:t>
            </w:r>
          </w:p>
        </w:tc>
      </w:tr>
      <w:tr w14:paraId="201D3E25">
        <w:tblPrEx>
          <w:shd w:val="clear" w:color="auto" w:fill="auto"/>
          <w:tblCellMar>
            <w:top w:w="0" w:type="dxa"/>
            <w:left w:w="0" w:type="dxa"/>
            <w:bottom w:w="0" w:type="dxa"/>
            <w:right w:w="0" w:type="dxa"/>
          </w:tblCellMar>
        </w:tblPrEx>
        <w:trPr>
          <w:trHeight w:val="660" w:hRule="atLeast"/>
        </w:trPr>
        <w:tc>
          <w:tcPr>
            <w:tcW w:w="1284"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6FB552A7">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血透室</w:t>
            </w:r>
          </w:p>
        </w:tc>
        <w:tc>
          <w:tcPr>
            <w:tcW w:w="5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9536B">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透析液、透析用水、空气、物表、手卫生、使用中的消毒液，菌落总数、电解质</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FBF9B">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血透室</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E3A20">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每月</w:t>
            </w:r>
          </w:p>
        </w:tc>
      </w:tr>
      <w:tr w14:paraId="155975F7">
        <w:tblPrEx>
          <w:shd w:val="clear" w:color="auto" w:fill="auto"/>
          <w:tblCellMar>
            <w:top w:w="0" w:type="dxa"/>
            <w:left w:w="0" w:type="dxa"/>
            <w:bottom w:w="0" w:type="dxa"/>
            <w:right w:w="0" w:type="dxa"/>
          </w:tblCellMar>
        </w:tblPrEx>
        <w:trPr>
          <w:trHeight w:val="435" w:hRule="atLeast"/>
        </w:trPr>
        <w:tc>
          <w:tcPr>
            <w:tcW w:w="1284"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11EC1F40">
            <w:pPr>
              <w:rPr>
                <w:rFonts w:hint="eastAsia" w:ascii="方正仿宋简体" w:hAnsi="方正仿宋简体" w:eastAsia="方正仿宋简体" w:cs="方正仿宋简体"/>
                <w:i w:val="0"/>
                <w:color w:val="auto"/>
                <w:sz w:val="20"/>
                <w:szCs w:val="20"/>
                <w:u w:val="none"/>
              </w:rPr>
            </w:pP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4F9AF">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内毒素监测</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F0A40">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血透室</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FF311">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w:t>
            </w:r>
          </w:p>
        </w:tc>
      </w:tr>
      <w:tr w14:paraId="504C7E0B">
        <w:tblPrEx>
          <w:tblCellMar>
            <w:top w:w="0" w:type="dxa"/>
            <w:left w:w="0" w:type="dxa"/>
            <w:bottom w:w="0" w:type="dxa"/>
            <w:right w:w="0" w:type="dxa"/>
          </w:tblCellMar>
        </w:tblPrEx>
        <w:trPr>
          <w:trHeight w:val="450" w:hRule="atLeast"/>
        </w:trPr>
        <w:tc>
          <w:tcPr>
            <w:tcW w:w="1284"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4B1CA876">
            <w:pPr>
              <w:rPr>
                <w:rFonts w:hint="eastAsia" w:ascii="方正仿宋简体" w:hAnsi="方正仿宋简体" w:eastAsia="方正仿宋简体" w:cs="方正仿宋简体"/>
                <w:i w:val="0"/>
                <w:color w:val="auto"/>
                <w:sz w:val="20"/>
                <w:szCs w:val="20"/>
                <w:u w:val="none"/>
              </w:rPr>
            </w:pP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13D22">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化学污染物监测</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A49C1">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血透室</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4B63E">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每年</w:t>
            </w:r>
          </w:p>
        </w:tc>
      </w:tr>
      <w:tr w14:paraId="3B36D1C2">
        <w:tblPrEx>
          <w:tblCellMar>
            <w:top w:w="0" w:type="dxa"/>
            <w:left w:w="0" w:type="dxa"/>
            <w:bottom w:w="0" w:type="dxa"/>
            <w:right w:w="0" w:type="dxa"/>
          </w:tblCellMar>
        </w:tblPrEx>
        <w:trPr>
          <w:trHeight w:val="675"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7E157">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医院污水</w:t>
            </w:r>
          </w:p>
        </w:tc>
        <w:tc>
          <w:tcPr>
            <w:tcW w:w="5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28FFE">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PH、色度、悬浮物、化学需氧量、五日生化需氧量、氨氮、总氯、总氰化物、挥发酚、阴离子表面活性剂、石油类、动植物油、汞、粪大肠菌群、沙门氏菌、志贺氏菌</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D7453">
            <w:pPr>
              <w:rPr>
                <w:rFonts w:hint="eastAsia" w:ascii="方正仿宋简体" w:hAnsi="方正仿宋简体" w:eastAsia="方正仿宋简体" w:cs="方正仿宋简体"/>
                <w:i w:val="0"/>
                <w:color w:val="auto"/>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1E9AA">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w:t>
            </w:r>
          </w:p>
        </w:tc>
      </w:tr>
      <w:tr w14:paraId="3818DE5B">
        <w:tblPrEx>
          <w:shd w:val="clear" w:color="auto" w:fill="auto"/>
          <w:tblCellMar>
            <w:top w:w="0" w:type="dxa"/>
            <w:left w:w="0" w:type="dxa"/>
            <w:bottom w:w="0" w:type="dxa"/>
            <w:right w:w="0" w:type="dxa"/>
          </w:tblCellMar>
        </w:tblPrEx>
        <w:trPr>
          <w:trHeight w:val="675"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1BF4F">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候诊大厅</w:t>
            </w: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CE83A">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苯、甲苯、二甲苯、氨</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651F6">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大厅</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3007A">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每年</w:t>
            </w:r>
          </w:p>
        </w:tc>
      </w:tr>
      <w:tr w14:paraId="233E3160">
        <w:tblPrEx>
          <w:shd w:val="clear" w:color="auto" w:fill="auto"/>
          <w:tblCellMar>
            <w:top w:w="0" w:type="dxa"/>
            <w:left w:w="0" w:type="dxa"/>
            <w:bottom w:w="0" w:type="dxa"/>
            <w:right w:w="0" w:type="dxa"/>
          </w:tblCellMar>
        </w:tblPrEx>
        <w:trPr>
          <w:trHeight w:val="675"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95CA7">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集中空调</w:t>
            </w:r>
          </w:p>
        </w:tc>
        <w:tc>
          <w:tcPr>
            <w:tcW w:w="5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559C2">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送风中细菌总数、送风中真菌总数、送风中PM10、送风中B-溶血性链球菌、风管内积尘量、风管内细菌总数、风管内真菌总数</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917D7">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中央空调</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15537">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w:t>
            </w:r>
          </w:p>
        </w:tc>
      </w:tr>
      <w:tr w14:paraId="4FBEAB79">
        <w:tblPrEx>
          <w:tblCellMar>
            <w:top w:w="0" w:type="dxa"/>
            <w:left w:w="0" w:type="dxa"/>
            <w:bottom w:w="0" w:type="dxa"/>
            <w:right w:w="0" w:type="dxa"/>
          </w:tblCellMar>
        </w:tblPrEx>
        <w:trPr>
          <w:trHeight w:val="675"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BB0D6">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污水处理站废气</w:t>
            </w: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FCECC">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硫化氢、氨、臭气浓度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D5248">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污水处理站</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86087">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w:t>
            </w:r>
          </w:p>
        </w:tc>
      </w:tr>
      <w:tr w14:paraId="4FB14FF7">
        <w:tblPrEx>
          <w:tblCellMar>
            <w:top w:w="0" w:type="dxa"/>
            <w:left w:w="0" w:type="dxa"/>
            <w:bottom w:w="0" w:type="dxa"/>
            <w:right w:w="0" w:type="dxa"/>
          </w:tblCellMar>
        </w:tblPrEx>
        <w:trPr>
          <w:trHeight w:val="675" w:hRule="atLeast"/>
        </w:trPr>
        <w:tc>
          <w:tcPr>
            <w:tcW w:w="1284"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73BF548">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饮食业油烟</w:t>
            </w:r>
          </w:p>
        </w:tc>
        <w:tc>
          <w:tcPr>
            <w:tcW w:w="528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E99D065">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油烟</w:t>
            </w:r>
          </w:p>
        </w:tc>
        <w:tc>
          <w:tcPr>
            <w:tcW w:w="139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2245369">
            <w:pPr>
              <w:rPr>
                <w:rFonts w:hint="eastAsia" w:ascii="方正仿宋简体" w:hAnsi="方正仿宋简体" w:eastAsia="方正仿宋简体" w:cs="方正仿宋简体"/>
                <w:i w:val="0"/>
                <w:color w:val="auto"/>
                <w:sz w:val="20"/>
                <w:szCs w:val="20"/>
                <w:u w:val="none"/>
              </w:rPr>
            </w:pPr>
          </w:p>
        </w:tc>
        <w:tc>
          <w:tcPr>
            <w:tcW w:w="106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7F76CDD2">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w:t>
            </w:r>
          </w:p>
        </w:tc>
      </w:tr>
      <w:tr w14:paraId="59520039">
        <w:tblPrEx>
          <w:tblCellMar>
            <w:top w:w="0" w:type="dxa"/>
            <w:left w:w="0" w:type="dxa"/>
            <w:bottom w:w="0" w:type="dxa"/>
            <w:right w:w="0" w:type="dxa"/>
          </w:tblCellMar>
        </w:tblPrEx>
        <w:trPr>
          <w:trHeight w:val="315" w:hRule="atLeast"/>
        </w:trPr>
        <w:tc>
          <w:tcPr>
            <w:tcW w:w="1284"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782B057C">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血库</w:t>
            </w:r>
          </w:p>
        </w:tc>
        <w:tc>
          <w:tcPr>
            <w:tcW w:w="528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2E3F6904">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空气培养菌落总数、物体表面（台面）菌落总数、工作人员手表面（卫生手）菌落总数</w:t>
            </w:r>
          </w:p>
        </w:tc>
        <w:tc>
          <w:tcPr>
            <w:tcW w:w="139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DAB71A4">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1、合血室、储血室、发血室、储血冰箱；</w:t>
            </w:r>
            <w:r>
              <w:rPr>
                <w:rFonts w:hint="eastAsia" w:ascii="方正仿宋简体" w:hAnsi="方正仿宋简体" w:eastAsia="方正仿宋简体" w:cs="方正仿宋简体"/>
                <w:i w:val="0"/>
                <w:color w:val="auto"/>
                <w:kern w:val="0"/>
                <w:sz w:val="20"/>
                <w:szCs w:val="20"/>
                <w:u w:val="none"/>
                <w:lang w:val="en-US" w:eastAsia="zh-CN" w:bidi="ar"/>
              </w:rPr>
              <w:br w:type="textWrapping"/>
            </w:r>
            <w:r>
              <w:rPr>
                <w:rFonts w:hint="eastAsia" w:ascii="方正仿宋简体" w:hAnsi="方正仿宋简体" w:eastAsia="方正仿宋简体" w:cs="方正仿宋简体"/>
                <w:i w:val="0"/>
                <w:color w:val="auto"/>
                <w:kern w:val="0"/>
                <w:sz w:val="20"/>
                <w:szCs w:val="20"/>
                <w:u w:val="none"/>
                <w:lang w:val="en-US" w:eastAsia="zh-CN" w:bidi="ar"/>
              </w:rPr>
              <w:t>2、转运箱内壁、合血室操作台面；</w:t>
            </w:r>
            <w:r>
              <w:rPr>
                <w:rFonts w:hint="eastAsia" w:ascii="方正仿宋简体" w:hAnsi="方正仿宋简体" w:eastAsia="方正仿宋简体" w:cs="方正仿宋简体"/>
                <w:i w:val="0"/>
                <w:color w:val="auto"/>
                <w:kern w:val="0"/>
                <w:sz w:val="20"/>
                <w:szCs w:val="20"/>
                <w:u w:val="none"/>
                <w:lang w:val="en-US" w:eastAsia="zh-CN" w:bidi="ar"/>
              </w:rPr>
              <w:br w:type="textWrapping"/>
            </w:r>
            <w:r>
              <w:rPr>
                <w:rFonts w:hint="eastAsia" w:ascii="方正仿宋简体" w:hAnsi="方正仿宋简体" w:eastAsia="方正仿宋简体" w:cs="方正仿宋简体"/>
                <w:i w:val="0"/>
                <w:color w:val="auto"/>
                <w:kern w:val="0"/>
                <w:sz w:val="20"/>
                <w:szCs w:val="20"/>
                <w:u w:val="none"/>
                <w:lang w:val="en-US" w:eastAsia="zh-CN" w:bidi="ar"/>
              </w:rPr>
              <w:t>3、工作人员手表面。</w:t>
            </w:r>
          </w:p>
        </w:tc>
        <w:tc>
          <w:tcPr>
            <w:tcW w:w="106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7581719C">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每月</w:t>
            </w:r>
          </w:p>
        </w:tc>
      </w:tr>
      <w:tr w14:paraId="75AF87F4">
        <w:tblPrEx>
          <w:tblCellMar>
            <w:top w:w="0" w:type="dxa"/>
            <w:left w:w="0" w:type="dxa"/>
            <w:bottom w:w="0" w:type="dxa"/>
            <w:right w:w="0" w:type="dxa"/>
          </w:tblCellMar>
        </w:tblPrEx>
        <w:trPr>
          <w:trHeight w:val="675" w:hRule="atLeast"/>
        </w:trPr>
        <w:tc>
          <w:tcPr>
            <w:tcW w:w="1284"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645B5288">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工业企业厂界环境噪声</w:t>
            </w:r>
          </w:p>
        </w:tc>
        <w:tc>
          <w:tcPr>
            <w:tcW w:w="528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5B859AEF">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噪声</w:t>
            </w:r>
          </w:p>
        </w:tc>
        <w:tc>
          <w:tcPr>
            <w:tcW w:w="139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648AEBE5">
            <w:pPr>
              <w:rPr>
                <w:rFonts w:hint="eastAsia" w:ascii="方正仿宋简体" w:hAnsi="方正仿宋简体" w:eastAsia="方正仿宋简体" w:cs="方正仿宋简体"/>
                <w:i w:val="0"/>
                <w:color w:val="auto"/>
                <w:sz w:val="20"/>
                <w:szCs w:val="20"/>
                <w:u w:val="none"/>
              </w:rPr>
            </w:pPr>
          </w:p>
        </w:tc>
        <w:tc>
          <w:tcPr>
            <w:tcW w:w="106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6BE596A9">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w:t>
            </w:r>
          </w:p>
        </w:tc>
      </w:tr>
      <w:tr w14:paraId="511A8EB1">
        <w:tblPrEx>
          <w:tblCellMar>
            <w:top w:w="0" w:type="dxa"/>
            <w:left w:w="0" w:type="dxa"/>
            <w:bottom w:w="0" w:type="dxa"/>
            <w:right w:w="0" w:type="dxa"/>
          </w:tblCellMar>
        </w:tblPrEx>
        <w:trPr>
          <w:trHeight w:val="675"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E7DCB">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二次供水水质监测</w:t>
            </w: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9C4A1">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水质监测</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42E0B">
            <w:pPr>
              <w:rPr>
                <w:rFonts w:hint="eastAsia" w:ascii="方正仿宋简体" w:hAnsi="方正仿宋简体" w:eastAsia="方正仿宋简体" w:cs="方正仿宋简体"/>
                <w:i w:val="0"/>
                <w:color w:val="auto"/>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88C35">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w:t>
            </w:r>
          </w:p>
        </w:tc>
      </w:tr>
      <w:tr w14:paraId="3BE826CF">
        <w:tblPrEx>
          <w:shd w:val="clear" w:color="auto" w:fill="auto"/>
          <w:tblCellMar>
            <w:top w:w="0" w:type="dxa"/>
            <w:left w:w="0" w:type="dxa"/>
            <w:bottom w:w="0" w:type="dxa"/>
            <w:right w:w="0" w:type="dxa"/>
          </w:tblCellMar>
        </w:tblPrEx>
        <w:trPr>
          <w:trHeight w:val="675" w:hRule="atLeast"/>
        </w:trPr>
        <w:tc>
          <w:tcPr>
            <w:tcW w:w="902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F4F0C">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r>
              <w:rPr>
                <w:rFonts w:hint="eastAsia" w:ascii="方正仿宋简体" w:hAnsi="方正仿宋简体" w:eastAsia="方正仿宋简体" w:cs="方正仿宋简体"/>
                <w:color w:val="auto"/>
                <w:sz w:val="24"/>
                <w:szCs w:val="24"/>
              </w:rPr>
              <w:t>《医疗机构水污染物排放标准》  GB 18466-2005 预处理标准</w:t>
            </w:r>
            <w:r>
              <w:rPr>
                <w:rFonts w:hint="eastAsia" w:ascii="方正仿宋简体" w:hAnsi="方正仿宋简体" w:eastAsia="方正仿宋简体" w:cs="方正仿宋简体"/>
                <w:color w:val="auto"/>
                <w:sz w:val="24"/>
                <w:szCs w:val="24"/>
              </w:rPr>
              <w:br w:type="textWrapping"/>
            </w:r>
            <w:r>
              <w:rPr>
                <w:rFonts w:hint="eastAsia" w:ascii="方正仿宋简体" w:hAnsi="方正仿宋简体" w:eastAsia="方正仿宋简体" w:cs="方正仿宋简体"/>
                <w:color w:val="auto"/>
                <w:sz w:val="24"/>
                <w:szCs w:val="24"/>
              </w:rPr>
              <w:t>《污水排入城镇下水道水质标准》 GB/T 31962-2015 B级污水送样不评价</w:t>
            </w:r>
            <w:r>
              <w:rPr>
                <w:rFonts w:hint="eastAsia" w:ascii="方正仿宋简体" w:hAnsi="方正仿宋简体" w:eastAsia="方正仿宋简体" w:cs="方正仿宋简体"/>
                <w:color w:val="auto"/>
                <w:sz w:val="24"/>
                <w:szCs w:val="24"/>
              </w:rPr>
              <w:br w:type="textWrapping"/>
            </w:r>
            <w:r>
              <w:rPr>
                <w:rFonts w:hint="eastAsia" w:ascii="方正仿宋简体" w:hAnsi="方正仿宋简体" w:eastAsia="方正仿宋简体" w:cs="方正仿宋简体"/>
                <w:color w:val="auto"/>
                <w:sz w:val="24"/>
                <w:szCs w:val="24"/>
              </w:rPr>
              <w:t>《公共场所卫生指标及限值要求》GB 37488-2019</w:t>
            </w:r>
            <w:r>
              <w:rPr>
                <w:rFonts w:hint="eastAsia" w:ascii="方正仿宋简体" w:hAnsi="方正仿宋简体" w:eastAsia="方正仿宋简体" w:cs="方正仿宋简体"/>
                <w:color w:val="auto"/>
                <w:sz w:val="24"/>
                <w:szCs w:val="24"/>
              </w:rPr>
              <w:br w:type="textWrapping"/>
            </w:r>
            <w:r>
              <w:rPr>
                <w:rFonts w:hint="eastAsia" w:ascii="方正仿宋简体" w:hAnsi="方正仿宋简体" w:eastAsia="方正仿宋简体" w:cs="方正仿宋简体"/>
                <w:color w:val="auto"/>
                <w:sz w:val="24"/>
                <w:szCs w:val="24"/>
              </w:rPr>
              <w:t>《医院消毒供应中心 第三部分：清洗消毒及灭菌效果监测标准》WS 310.3-2016</w:t>
            </w:r>
            <w:r>
              <w:rPr>
                <w:rFonts w:hint="eastAsia" w:ascii="方正仿宋简体" w:hAnsi="方正仿宋简体" w:eastAsia="方正仿宋简体" w:cs="方正仿宋简体"/>
                <w:color w:val="auto"/>
                <w:sz w:val="24"/>
                <w:szCs w:val="24"/>
              </w:rPr>
              <w:br w:type="textWrapping"/>
            </w:r>
            <w:r>
              <w:rPr>
                <w:rFonts w:hint="eastAsia" w:ascii="方正仿宋简体" w:hAnsi="方正仿宋简体" w:eastAsia="方正仿宋简体" w:cs="方正仿宋简体"/>
                <w:color w:val="auto"/>
                <w:sz w:val="24"/>
                <w:szCs w:val="24"/>
              </w:rPr>
              <w:t>《小型压力蒸汽灭菌器灭菌效果监测方法和评价要求》GB/T 30690-2014</w:t>
            </w:r>
            <w:r>
              <w:rPr>
                <w:rFonts w:hint="eastAsia" w:ascii="方正仿宋简体" w:hAnsi="方正仿宋简体" w:eastAsia="方正仿宋简体" w:cs="方正仿宋简体"/>
                <w:color w:val="auto"/>
                <w:sz w:val="24"/>
                <w:szCs w:val="24"/>
              </w:rPr>
              <w:br w:type="textWrapping"/>
            </w:r>
            <w:r>
              <w:rPr>
                <w:rFonts w:hint="eastAsia" w:ascii="方正仿宋简体" w:hAnsi="方正仿宋简体" w:eastAsia="方正仿宋简体" w:cs="方正仿宋简体"/>
                <w:color w:val="auto"/>
                <w:sz w:val="24"/>
                <w:szCs w:val="24"/>
              </w:rPr>
              <w:t>《医院空气净化管理规范》WS/T  368—2012  </w:t>
            </w:r>
            <w:r>
              <w:rPr>
                <w:rFonts w:hint="eastAsia" w:ascii="方正仿宋简体" w:hAnsi="方正仿宋简体" w:eastAsia="方正仿宋简体" w:cs="方正仿宋简体"/>
                <w:color w:val="auto"/>
                <w:sz w:val="24"/>
                <w:szCs w:val="24"/>
              </w:rPr>
              <w:br w:type="textWrapping"/>
            </w:r>
            <w:r>
              <w:rPr>
                <w:rFonts w:hint="eastAsia" w:ascii="方正仿宋简体" w:hAnsi="方正仿宋简体" w:eastAsia="方正仿宋简体" w:cs="方正仿宋简体"/>
                <w:color w:val="auto"/>
                <w:sz w:val="24"/>
                <w:szCs w:val="24"/>
              </w:rPr>
              <w:t>《医疗机构消毒技术规范》 WS/T 367—2012 </w:t>
            </w:r>
            <w:r>
              <w:rPr>
                <w:rFonts w:hint="eastAsia" w:ascii="方正仿宋简体" w:hAnsi="方正仿宋简体" w:eastAsia="方正仿宋简体" w:cs="方正仿宋简体"/>
                <w:color w:val="auto"/>
                <w:sz w:val="24"/>
                <w:szCs w:val="24"/>
              </w:rPr>
              <w:br w:type="textWrapping"/>
            </w:r>
            <w:r>
              <w:rPr>
                <w:rFonts w:hint="eastAsia" w:ascii="方正仿宋简体" w:hAnsi="方正仿宋简体" w:eastAsia="方正仿宋简体" w:cs="方正仿宋简体"/>
                <w:color w:val="auto"/>
                <w:sz w:val="24"/>
                <w:szCs w:val="24"/>
              </w:rPr>
              <w:t>《医院消毒卫生标准》 GB  15982-2012  </w:t>
            </w:r>
            <w:r>
              <w:rPr>
                <w:rFonts w:hint="eastAsia" w:ascii="方正仿宋简体" w:hAnsi="方正仿宋简体" w:eastAsia="方正仿宋简体" w:cs="方正仿宋简体"/>
                <w:color w:val="auto"/>
                <w:sz w:val="24"/>
                <w:szCs w:val="24"/>
              </w:rPr>
              <w:br w:type="textWrapping"/>
            </w:r>
            <w:r>
              <w:rPr>
                <w:rFonts w:hint="eastAsia" w:ascii="方正仿宋简体" w:hAnsi="方正仿宋简体" w:eastAsia="方正仿宋简体" w:cs="方正仿宋简体"/>
                <w:color w:val="auto"/>
                <w:sz w:val="24"/>
                <w:szCs w:val="24"/>
              </w:rPr>
              <w:t>《医院洁净手术部建筑技术规范》GB  50333-2013</w:t>
            </w:r>
            <w:r>
              <w:rPr>
                <w:rFonts w:hint="eastAsia" w:ascii="方正仿宋简体" w:hAnsi="方正仿宋简体" w:eastAsia="方正仿宋简体" w:cs="方正仿宋简体"/>
                <w:color w:val="auto"/>
                <w:sz w:val="24"/>
                <w:szCs w:val="24"/>
              </w:rPr>
              <w:br w:type="textWrapping"/>
            </w:r>
            <w:r>
              <w:rPr>
                <w:rFonts w:hint="eastAsia" w:ascii="方正仿宋简体" w:hAnsi="方正仿宋简体" w:eastAsia="方正仿宋简体" w:cs="方正仿宋简体"/>
                <w:color w:val="auto"/>
                <w:sz w:val="24"/>
                <w:szCs w:val="24"/>
              </w:rPr>
              <w:t>《软式内镜清洗消毒技术规范》WS  507-2016</w:t>
            </w:r>
            <w:r>
              <w:rPr>
                <w:rFonts w:hint="eastAsia" w:ascii="方正仿宋简体" w:hAnsi="方正仿宋简体" w:eastAsia="方正仿宋简体" w:cs="方正仿宋简体"/>
                <w:color w:val="auto"/>
                <w:sz w:val="24"/>
                <w:szCs w:val="24"/>
              </w:rPr>
              <w:br w:type="textWrapping"/>
            </w:r>
            <w:r>
              <w:rPr>
                <w:rFonts w:hint="eastAsia" w:ascii="方正仿宋简体" w:hAnsi="方正仿宋简体" w:eastAsia="方正仿宋简体" w:cs="方正仿宋简体"/>
                <w:color w:val="auto"/>
                <w:sz w:val="24"/>
                <w:szCs w:val="24"/>
              </w:rPr>
              <w:t>《血液净化标准操作规程（2021版）》</w:t>
            </w:r>
            <w:r>
              <w:rPr>
                <w:rFonts w:hint="eastAsia" w:ascii="方正仿宋简体" w:hAnsi="方正仿宋简体" w:eastAsia="方正仿宋简体" w:cs="方正仿宋简体"/>
                <w:color w:val="auto"/>
                <w:sz w:val="24"/>
                <w:szCs w:val="24"/>
              </w:rPr>
              <w:br w:type="textWrapping"/>
            </w:r>
            <w:r>
              <w:rPr>
                <w:rFonts w:hint="eastAsia" w:ascii="方正仿宋简体" w:hAnsi="方正仿宋简体" w:eastAsia="方正仿宋简体" w:cs="方正仿宋简体"/>
                <w:color w:val="auto"/>
                <w:sz w:val="24"/>
                <w:szCs w:val="24"/>
              </w:rPr>
              <w:t>《医院感染监测标准》WST312-2023</w:t>
            </w:r>
            <w:r>
              <w:rPr>
                <w:rFonts w:hint="eastAsia" w:ascii="方正仿宋简体" w:hAnsi="方正仿宋简体" w:eastAsia="方正仿宋简体" w:cs="方正仿宋简体"/>
                <w:color w:val="auto"/>
                <w:sz w:val="24"/>
                <w:szCs w:val="24"/>
              </w:rPr>
              <w:br w:type="textWrapping"/>
            </w:r>
            <w:r>
              <w:rPr>
                <w:rFonts w:hint="eastAsia" w:ascii="方正仿宋简体" w:hAnsi="方正仿宋简体" w:eastAsia="方正仿宋简体" w:cs="方正仿宋简体"/>
                <w:color w:val="auto"/>
                <w:sz w:val="24"/>
                <w:szCs w:val="24"/>
              </w:rPr>
              <w:t>《公共场所集中空调通风系统卫生规范》WS 394-2012</w:t>
            </w:r>
            <w:r>
              <w:rPr>
                <w:rFonts w:hint="eastAsia" w:ascii="方正仿宋简体" w:hAnsi="方正仿宋简体" w:eastAsia="方正仿宋简体" w:cs="方正仿宋简体"/>
                <w:color w:val="auto"/>
                <w:sz w:val="24"/>
                <w:szCs w:val="24"/>
              </w:rPr>
              <w:br w:type="textWrapping"/>
            </w:r>
            <w:r>
              <w:rPr>
                <w:rFonts w:hint="eastAsia" w:ascii="方正仿宋简体" w:hAnsi="方正仿宋简体" w:eastAsia="方正仿宋简体" w:cs="方正仿宋简体"/>
                <w:color w:val="auto"/>
                <w:sz w:val="24"/>
                <w:szCs w:val="24"/>
              </w:rPr>
              <w:t>《恶臭污染物排放标准》GB 14554-1993</w:t>
            </w:r>
            <w:r>
              <w:rPr>
                <w:rFonts w:hint="eastAsia" w:ascii="方正仿宋简体" w:hAnsi="方正仿宋简体" w:eastAsia="方正仿宋简体" w:cs="方正仿宋简体"/>
                <w:color w:val="auto"/>
                <w:sz w:val="24"/>
                <w:szCs w:val="24"/>
              </w:rPr>
              <w:br w:type="textWrapping"/>
            </w:r>
            <w:r>
              <w:rPr>
                <w:rFonts w:hint="eastAsia" w:ascii="方正仿宋简体" w:hAnsi="方正仿宋简体" w:eastAsia="方正仿宋简体" w:cs="方正仿宋简体"/>
                <w:color w:val="auto"/>
                <w:sz w:val="24"/>
                <w:szCs w:val="24"/>
              </w:rPr>
              <w:t>《饮食业油烟排放标准》GB 18483-2001 表2</w:t>
            </w:r>
            <w:r>
              <w:rPr>
                <w:rFonts w:hint="eastAsia" w:ascii="方正仿宋简体" w:hAnsi="方正仿宋简体" w:eastAsia="方正仿宋简体" w:cs="方正仿宋简体"/>
                <w:color w:val="auto"/>
                <w:sz w:val="24"/>
                <w:szCs w:val="24"/>
              </w:rPr>
              <w:br w:type="textWrapping"/>
            </w:r>
            <w:r>
              <w:rPr>
                <w:rFonts w:hint="eastAsia" w:ascii="方正仿宋简体" w:hAnsi="方正仿宋简体" w:eastAsia="方正仿宋简体" w:cs="方正仿宋简体"/>
                <w:color w:val="auto"/>
                <w:sz w:val="24"/>
                <w:szCs w:val="24"/>
              </w:rPr>
              <w:t>《工业企业厂界环境噪声排放标准》12348-2008 2类</w:t>
            </w:r>
          </w:p>
        </w:tc>
      </w:tr>
    </w:tbl>
    <w:p w14:paraId="45CBB27E">
      <w:pPr>
        <w:adjustRightInd w:val="0"/>
        <w:snapToGrid w:val="0"/>
        <w:spacing w:line="400" w:lineRule="exact"/>
        <w:ind w:firstLine="0"/>
        <w:outlineLvl w:val="1"/>
        <w:rPr>
          <w:rFonts w:hint="eastAsia" w:ascii="宋体" w:hAnsi="宋体" w:cs="宋体"/>
          <w:bCs w:val="0"/>
          <w:color w:val="auto"/>
          <w:sz w:val="21"/>
          <w:szCs w:val="21"/>
          <w:lang w:val="en-US" w:eastAsia="zh-CN"/>
        </w:rPr>
      </w:pPr>
      <w:r>
        <w:rPr>
          <w:rFonts w:hint="eastAsia" w:ascii="宋体" w:hAnsi="宋体" w:cs="宋体"/>
          <w:bCs w:val="0"/>
          <w:color w:val="auto"/>
          <w:sz w:val="21"/>
          <w:szCs w:val="21"/>
          <w:lang w:val="en-US" w:eastAsia="zh-CN"/>
        </w:rPr>
        <w:t>提供检测报告：</w:t>
      </w:r>
    </w:p>
    <w:p w14:paraId="5A4373BC">
      <w:pPr>
        <w:adjustRightInd w:val="0"/>
        <w:snapToGrid w:val="0"/>
        <w:spacing w:line="400" w:lineRule="exact"/>
        <w:ind w:firstLine="0"/>
        <w:rPr>
          <w:rFonts w:hint="eastAsia" w:ascii="宋体" w:hAnsi="宋体" w:cs="宋体"/>
          <w:bCs w:val="0"/>
          <w:color w:val="auto"/>
          <w:sz w:val="21"/>
          <w:szCs w:val="21"/>
          <w:lang w:val="en-US" w:eastAsia="zh-CN"/>
        </w:rPr>
      </w:pPr>
      <w:r>
        <w:rPr>
          <w:rFonts w:hint="eastAsia" w:ascii="宋体" w:hAnsi="宋体" w:cs="宋体"/>
          <w:bCs w:val="0"/>
          <w:color w:val="auto"/>
          <w:sz w:val="21"/>
          <w:szCs w:val="21"/>
          <w:lang w:val="en-US" w:eastAsia="zh-CN"/>
        </w:rPr>
        <w:t>1.1交付方式：快递</w:t>
      </w:r>
    </w:p>
    <w:p w14:paraId="6F98ED73">
      <w:pPr>
        <w:adjustRightInd w:val="0"/>
        <w:snapToGrid w:val="0"/>
        <w:spacing w:line="400" w:lineRule="exact"/>
        <w:ind w:firstLine="0"/>
        <w:rPr>
          <w:rFonts w:hint="eastAsia" w:ascii="宋体" w:hAnsi="宋体" w:cs="宋体"/>
          <w:bCs w:val="0"/>
          <w:color w:val="auto"/>
          <w:sz w:val="21"/>
          <w:szCs w:val="21"/>
          <w:lang w:val="en-US" w:eastAsia="zh-CN"/>
        </w:rPr>
      </w:pPr>
      <w:r>
        <w:rPr>
          <w:rFonts w:hint="eastAsia" w:ascii="宋体" w:hAnsi="宋体" w:cs="宋体"/>
          <w:bCs w:val="0"/>
          <w:color w:val="auto"/>
          <w:sz w:val="21"/>
          <w:szCs w:val="21"/>
          <w:lang w:val="en-US" w:eastAsia="zh-CN"/>
        </w:rPr>
        <w:t>*1.2报告份数：每次检测报告壹式叁份，采购人贰份，成交供应商壹份。</w:t>
      </w:r>
    </w:p>
    <w:p w14:paraId="33EFC9F6">
      <w:pPr>
        <w:adjustRightInd w:val="0"/>
        <w:snapToGrid w:val="0"/>
        <w:spacing w:line="400" w:lineRule="exact"/>
        <w:ind w:firstLine="0"/>
        <w:rPr>
          <w:rFonts w:hint="eastAsia" w:ascii="宋体" w:hAnsi="宋体" w:cs="宋体"/>
          <w:bCs w:val="0"/>
          <w:color w:val="auto"/>
          <w:sz w:val="21"/>
          <w:szCs w:val="21"/>
          <w:lang w:val="en-US" w:eastAsia="zh-CN"/>
        </w:rPr>
      </w:pPr>
      <w:r>
        <w:rPr>
          <w:rFonts w:hint="eastAsia" w:ascii="宋体" w:hAnsi="宋体" w:eastAsia="宋体" w:cs="宋体"/>
          <w:color w:val="auto"/>
          <w:szCs w:val="21"/>
          <w:u w:val="none" w:color="auto"/>
          <w:shd w:val="clear"/>
          <w:lang w:val="en-US" w:eastAsia="zh-CN"/>
        </w:rPr>
        <w:t>*</w:t>
      </w:r>
      <w:r>
        <w:rPr>
          <w:rFonts w:hint="eastAsia" w:ascii="宋体" w:hAnsi="宋体" w:cs="宋体"/>
          <w:bCs w:val="0"/>
          <w:color w:val="auto"/>
          <w:sz w:val="21"/>
          <w:szCs w:val="21"/>
          <w:lang w:val="en-US" w:eastAsia="zh-CN"/>
        </w:rPr>
        <w:t>1.3交付期限：由甲方确定现场检测时间，乙方现场检测完成后 7个工作日向甲方提交检测报告。</w:t>
      </w:r>
    </w:p>
    <w:p w14:paraId="114BEB0B">
      <w:pPr>
        <w:spacing w:before="80" w:after="80" w:line="360" w:lineRule="auto"/>
        <w:ind w:firstLine="480" w:firstLineChars="200"/>
        <w:rPr>
          <w:rFonts w:ascii="宋体" w:hAnsi="宋体" w:eastAsia="宋体"/>
          <w:color w:val="auto"/>
          <w:sz w:val="24"/>
          <w:szCs w:val="24"/>
        </w:rPr>
      </w:pPr>
    </w:p>
    <w:p w14:paraId="70DD3920">
      <w:pPr>
        <w:widowControl/>
        <w:jc w:val="left"/>
        <w:rPr>
          <w:rFonts w:ascii="宋体" w:hAnsi="宋体" w:eastAsia="宋体"/>
          <w:color w:val="auto"/>
          <w:sz w:val="24"/>
          <w:szCs w:val="24"/>
        </w:rPr>
      </w:pPr>
      <w:r>
        <w:rPr>
          <w:rFonts w:ascii="宋体" w:hAnsi="宋体" w:eastAsia="宋体"/>
          <w:color w:val="auto"/>
          <w:sz w:val="24"/>
          <w:szCs w:val="24"/>
        </w:rPr>
        <w:br w:type="page"/>
      </w:r>
    </w:p>
    <w:p w14:paraId="24B1545D">
      <w:pPr>
        <w:pStyle w:val="3"/>
        <w:jc w:val="center"/>
        <w:rPr>
          <w:rFonts w:ascii="华文中宋" w:hAnsi="华文中宋" w:eastAsia="华文中宋" w:cs="宋体"/>
          <w:b w:val="0"/>
          <w:color w:val="auto"/>
        </w:rPr>
      </w:pPr>
      <w:bookmarkStart w:id="7" w:name="_Toc66971936"/>
      <w:bookmarkStart w:id="8" w:name="_Toc68619136"/>
      <w:r>
        <w:rPr>
          <w:rFonts w:ascii="华文中宋" w:hAnsi="华文中宋" w:eastAsia="华文中宋" w:cs="宋体"/>
          <w:b w:val="0"/>
          <w:color w:val="auto"/>
        </w:rPr>
        <w:t>第</w:t>
      </w:r>
      <w:r>
        <w:rPr>
          <w:rFonts w:hint="eastAsia" w:ascii="华文中宋" w:hAnsi="华文中宋" w:eastAsia="华文中宋" w:cs="宋体"/>
          <w:b w:val="0"/>
          <w:color w:val="auto"/>
        </w:rPr>
        <w:t>五</w:t>
      </w:r>
      <w:r>
        <w:rPr>
          <w:rFonts w:ascii="华文中宋" w:hAnsi="华文中宋" w:eastAsia="华文中宋" w:cs="宋体"/>
          <w:b w:val="0"/>
          <w:color w:val="auto"/>
        </w:rPr>
        <w:t>章</w:t>
      </w:r>
      <w:r>
        <w:rPr>
          <w:rFonts w:hint="eastAsia" w:ascii="华文中宋" w:hAnsi="华文中宋" w:eastAsia="华文中宋" w:cs="宋体"/>
          <w:b w:val="0"/>
          <w:color w:val="auto"/>
        </w:rPr>
        <w:t xml:space="preserve"> </w:t>
      </w:r>
      <w:r>
        <w:rPr>
          <w:rFonts w:ascii="华文中宋" w:hAnsi="华文中宋" w:eastAsia="华文中宋" w:cs="宋体"/>
          <w:b w:val="0"/>
          <w:color w:val="auto"/>
        </w:rPr>
        <w:t>评审办法</w:t>
      </w:r>
      <w:bookmarkEnd w:id="7"/>
      <w:bookmarkEnd w:id="8"/>
    </w:p>
    <w:p w14:paraId="2279DE4B">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1</w:t>
      </w:r>
      <w:r>
        <w:rPr>
          <w:rFonts w:hint="eastAsia" w:ascii="华文中宋" w:hAnsi="华文中宋" w:eastAsia="华文中宋" w:cs="宋体"/>
          <w:bCs w:val="0"/>
          <w:color w:val="auto"/>
          <w:sz w:val="24"/>
          <w:szCs w:val="24"/>
        </w:rPr>
        <w:t>、</w:t>
      </w:r>
      <w:r>
        <w:rPr>
          <w:rFonts w:ascii="华文中宋" w:hAnsi="华文中宋" w:eastAsia="华文中宋" w:cs="宋体"/>
          <w:bCs w:val="0"/>
          <w:color w:val="auto"/>
          <w:sz w:val="24"/>
          <w:szCs w:val="24"/>
        </w:rPr>
        <w:t>总则</w:t>
      </w:r>
    </w:p>
    <w:p w14:paraId="45B7FC59">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1.1比选人将根据比选特点组建评审委员会，采取</w:t>
      </w:r>
      <w:r>
        <w:rPr>
          <w:rFonts w:hint="eastAsia" w:cs="宋体" w:asciiTheme="minorEastAsia" w:hAnsiTheme="minorEastAsia"/>
          <w:color w:val="auto"/>
          <w:sz w:val="24"/>
          <w:szCs w:val="24"/>
        </w:rPr>
        <w:t>综合评分法</w:t>
      </w:r>
      <w:r>
        <w:rPr>
          <w:rFonts w:cs="宋体" w:asciiTheme="minorEastAsia" w:hAnsiTheme="minorEastAsia"/>
          <w:color w:val="auto"/>
          <w:sz w:val="24"/>
          <w:szCs w:val="24"/>
        </w:rPr>
        <w:t>。</w:t>
      </w:r>
    </w:p>
    <w:p w14:paraId="5265DB19">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1.2 评审工作应遵循公平、公正、科学及择优的原则，并以相同的评审程序和标准对待所有的比选申请人。</w:t>
      </w:r>
    </w:p>
    <w:p w14:paraId="14697023">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1.3 评审委员会按照比选文件规定的评审方法和标准进行评审，并独立履行下列职责：</w:t>
      </w:r>
    </w:p>
    <w:p w14:paraId="6D88EE18">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（1）审查比选申请文件是否符合比选文件要求，并作出评价；</w:t>
      </w:r>
    </w:p>
    <w:p w14:paraId="1A88D4AB">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（2）要求比选申请人对比选申请文件有关事项作出解释或者澄清；</w:t>
      </w:r>
    </w:p>
    <w:p w14:paraId="3937C50D">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（3）推荐中选候选人名单；</w:t>
      </w:r>
    </w:p>
    <w:p w14:paraId="682A0A6B">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（4）向比选</w:t>
      </w:r>
      <w:r>
        <w:rPr>
          <w:rFonts w:hint="eastAsia" w:cs="宋体" w:asciiTheme="minorEastAsia" w:hAnsiTheme="minorEastAsia"/>
          <w:color w:val="auto"/>
          <w:sz w:val="24"/>
          <w:szCs w:val="24"/>
        </w:rPr>
        <w:t>人</w:t>
      </w:r>
      <w:r>
        <w:rPr>
          <w:rFonts w:cs="宋体" w:asciiTheme="minorEastAsia" w:hAnsiTheme="minorEastAsia"/>
          <w:color w:val="auto"/>
          <w:sz w:val="24"/>
          <w:szCs w:val="24"/>
        </w:rPr>
        <w:t>或者有关部门报告非法干预评审工作的行为。</w:t>
      </w:r>
    </w:p>
    <w:p w14:paraId="22E57D82">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2</w:t>
      </w:r>
      <w:r>
        <w:rPr>
          <w:rFonts w:hint="eastAsia" w:ascii="华文中宋" w:hAnsi="华文中宋" w:eastAsia="华文中宋" w:cs="宋体"/>
          <w:bCs w:val="0"/>
          <w:color w:val="auto"/>
          <w:sz w:val="24"/>
          <w:szCs w:val="24"/>
        </w:rPr>
        <w:t>、</w:t>
      </w:r>
      <w:r>
        <w:rPr>
          <w:rFonts w:ascii="华文中宋" w:hAnsi="华文中宋" w:eastAsia="华文中宋" w:cs="宋体"/>
          <w:bCs w:val="0"/>
          <w:color w:val="auto"/>
          <w:sz w:val="24"/>
          <w:szCs w:val="24"/>
        </w:rPr>
        <w:t>评审程序</w:t>
      </w:r>
    </w:p>
    <w:p w14:paraId="7664011F">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2.1比选申请文件初审。初审分为资格性检查和符合性检查。</w:t>
      </w:r>
    </w:p>
    <w:p w14:paraId="1DE2AD0E">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2.1.1资格性检查。依据法律法规和比选文件的规定，对比选申请文件中的第三章资格证明进行审查，以确定比选申请人具备比选资格。</w:t>
      </w:r>
    </w:p>
    <w:tbl>
      <w:tblPr>
        <w:tblStyle w:val="7"/>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6821"/>
        <w:gridCol w:w="1922"/>
      </w:tblGrid>
      <w:tr w14:paraId="703F9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30BA1CE2">
            <w:pPr>
              <w:spacing w:before="80" w:after="80" w:line="360" w:lineRule="auto"/>
              <w:jc w:val="center"/>
              <w:rPr>
                <w:rFonts w:cs="宋体" w:asciiTheme="minorEastAsia" w:hAnsiTheme="minorEastAsia"/>
                <w:color w:val="auto"/>
                <w:sz w:val="24"/>
                <w:szCs w:val="24"/>
              </w:rPr>
            </w:pPr>
            <w:r>
              <w:rPr>
                <w:rFonts w:hint="eastAsia" w:cs="宋体" w:asciiTheme="minorEastAsia" w:hAnsiTheme="minorEastAsia"/>
                <w:color w:val="auto"/>
                <w:sz w:val="24"/>
                <w:szCs w:val="24"/>
              </w:rPr>
              <w:t>序号</w:t>
            </w:r>
          </w:p>
        </w:tc>
        <w:tc>
          <w:tcPr>
            <w:tcW w:w="6821" w:type="dxa"/>
            <w:vAlign w:val="center"/>
          </w:tcPr>
          <w:p w14:paraId="75248B13">
            <w:pPr>
              <w:spacing w:before="80" w:after="80" w:line="360" w:lineRule="auto"/>
              <w:jc w:val="center"/>
              <w:rPr>
                <w:rFonts w:cs="宋体" w:asciiTheme="minorEastAsia" w:hAnsiTheme="minorEastAsia"/>
                <w:color w:val="auto"/>
                <w:sz w:val="24"/>
                <w:szCs w:val="24"/>
              </w:rPr>
            </w:pPr>
            <w:r>
              <w:rPr>
                <w:rFonts w:hint="eastAsia" w:cs="宋体" w:asciiTheme="minorEastAsia" w:hAnsiTheme="minorEastAsia"/>
                <w:color w:val="auto"/>
                <w:sz w:val="24"/>
                <w:szCs w:val="24"/>
              </w:rPr>
              <w:t>资格性检查内容</w:t>
            </w:r>
          </w:p>
        </w:tc>
        <w:tc>
          <w:tcPr>
            <w:tcW w:w="1922" w:type="dxa"/>
            <w:vAlign w:val="center"/>
          </w:tcPr>
          <w:p w14:paraId="6EAAF451">
            <w:pPr>
              <w:spacing w:before="80" w:after="80" w:line="360" w:lineRule="auto"/>
              <w:jc w:val="center"/>
              <w:rPr>
                <w:rFonts w:cs="宋体" w:asciiTheme="minorEastAsia" w:hAnsiTheme="minorEastAsia"/>
                <w:color w:val="auto"/>
                <w:sz w:val="24"/>
                <w:szCs w:val="24"/>
              </w:rPr>
            </w:pPr>
            <w:r>
              <w:rPr>
                <w:rFonts w:hint="eastAsia" w:cs="宋体" w:asciiTheme="minorEastAsia" w:hAnsiTheme="minorEastAsia"/>
                <w:color w:val="auto"/>
                <w:sz w:val="24"/>
                <w:szCs w:val="24"/>
              </w:rPr>
              <w:t>通过/不通过</w:t>
            </w:r>
          </w:p>
        </w:tc>
      </w:tr>
      <w:tr w14:paraId="3D0C5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4DEB913C">
            <w:pPr>
              <w:pStyle w:val="10"/>
              <w:numPr>
                <w:ilvl w:val="0"/>
                <w:numId w:val="2"/>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14:paraId="2FF452F9">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在中华人民共和国境内依法注册的法人或者其他组织的证明材料</w:t>
            </w:r>
          </w:p>
        </w:tc>
        <w:tc>
          <w:tcPr>
            <w:tcW w:w="1922" w:type="dxa"/>
            <w:vAlign w:val="center"/>
          </w:tcPr>
          <w:p w14:paraId="0B395D0B">
            <w:pPr>
              <w:spacing w:before="80" w:after="80" w:line="360" w:lineRule="auto"/>
              <w:jc w:val="center"/>
              <w:rPr>
                <w:rFonts w:cs="宋体" w:asciiTheme="minorEastAsia" w:hAnsiTheme="minorEastAsia"/>
                <w:color w:val="auto"/>
                <w:sz w:val="24"/>
                <w:szCs w:val="24"/>
              </w:rPr>
            </w:pPr>
          </w:p>
        </w:tc>
      </w:tr>
      <w:tr w14:paraId="0DA01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6352F3E3">
            <w:pPr>
              <w:pStyle w:val="10"/>
              <w:numPr>
                <w:ilvl w:val="0"/>
                <w:numId w:val="2"/>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14:paraId="1520FFBE">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具有良好的商业信誉和健全的财务会计制度的证明材料</w:t>
            </w:r>
          </w:p>
        </w:tc>
        <w:tc>
          <w:tcPr>
            <w:tcW w:w="1922" w:type="dxa"/>
            <w:vAlign w:val="center"/>
          </w:tcPr>
          <w:p w14:paraId="035484CE">
            <w:pPr>
              <w:spacing w:before="80" w:after="80" w:line="360" w:lineRule="auto"/>
              <w:jc w:val="center"/>
              <w:rPr>
                <w:rFonts w:cs="宋体" w:asciiTheme="minorEastAsia" w:hAnsiTheme="minorEastAsia"/>
                <w:color w:val="auto"/>
                <w:sz w:val="24"/>
                <w:szCs w:val="24"/>
              </w:rPr>
            </w:pPr>
          </w:p>
        </w:tc>
      </w:tr>
      <w:tr w14:paraId="78C31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39B1A9C9">
            <w:pPr>
              <w:pStyle w:val="10"/>
              <w:numPr>
                <w:ilvl w:val="0"/>
                <w:numId w:val="2"/>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14:paraId="5860EF6F">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具有依法缴纳税收和社会保障资金的良好记录的证明材料</w:t>
            </w:r>
          </w:p>
        </w:tc>
        <w:tc>
          <w:tcPr>
            <w:tcW w:w="1922" w:type="dxa"/>
            <w:vAlign w:val="center"/>
          </w:tcPr>
          <w:p w14:paraId="3BA65668">
            <w:pPr>
              <w:spacing w:before="80" w:after="80" w:line="360" w:lineRule="auto"/>
              <w:jc w:val="center"/>
              <w:rPr>
                <w:rFonts w:cs="宋体" w:asciiTheme="minorEastAsia" w:hAnsiTheme="minorEastAsia"/>
                <w:color w:val="auto"/>
                <w:sz w:val="24"/>
                <w:szCs w:val="24"/>
              </w:rPr>
            </w:pPr>
          </w:p>
        </w:tc>
      </w:tr>
      <w:tr w14:paraId="1ECCB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65F40ED9">
            <w:pPr>
              <w:pStyle w:val="10"/>
              <w:numPr>
                <w:ilvl w:val="0"/>
                <w:numId w:val="2"/>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14:paraId="3A0C60A6">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具备履行合同所必需的设备和专业技术能力的证明材料</w:t>
            </w:r>
          </w:p>
        </w:tc>
        <w:tc>
          <w:tcPr>
            <w:tcW w:w="1922" w:type="dxa"/>
            <w:vAlign w:val="center"/>
          </w:tcPr>
          <w:p w14:paraId="0FEAF0F9">
            <w:pPr>
              <w:spacing w:before="80" w:after="80" w:line="360" w:lineRule="auto"/>
              <w:jc w:val="center"/>
              <w:rPr>
                <w:rFonts w:cs="宋体" w:asciiTheme="minorEastAsia" w:hAnsiTheme="minorEastAsia"/>
                <w:color w:val="auto"/>
                <w:sz w:val="24"/>
                <w:szCs w:val="24"/>
              </w:rPr>
            </w:pPr>
          </w:p>
        </w:tc>
      </w:tr>
      <w:tr w14:paraId="60C2F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347371C3">
            <w:pPr>
              <w:pStyle w:val="10"/>
              <w:numPr>
                <w:ilvl w:val="0"/>
                <w:numId w:val="2"/>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14:paraId="136F7BDE">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参加比选活动前三年内在经营活动中没有重大违法记录的证明材料</w:t>
            </w:r>
          </w:p>
        </w:tc>
        <w:tc>
          <w:tcPr>
            <w:tcW w:w="1922" w:type="dxa"/>
            <w:vAlign w:val="center"/>
          </w:tcPr>
          <w:p w14:paraId="454903ED">
            <w:pPr>
              <w:spacing w:before="80" w:after="80" w:line="360" w:lineRule="auto"/>
              <w:jc w:val="center"/>
              <w:rPr>
                <w:rFonts w:cs="宋体" w:asciiTheme="minorEastAsia" w:hAnsiTheme="minorEastAsia"/>
                <w:color w:val="auto"/>
                <w:sz w:val="24"/>
                <w:szCs w:val="24"/>
              </w:rPr>
            </w:pPr>
          </w:p>
        </w:tc>
      </w:tr>
      <w:tr w14:paraId="00244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5B6AA5EB">
            <w:pPr>
              <w:pStyle w:val="10"/>
              <w:numPr>
                <w:ilvl w:val="0"/>
                <w:numId w:val="2"/>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14:paraId="52FC9ED9">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比选申请人还符合法律、行政法规规定的其他强制性条件</w:t>
            </w:r>
          </w:p>
        </w:tc>
        <w:tc>
          <w:tcPr>
            <w:tcW w:w="1922" w:type="dxa"/>
            <w:vAlign w:val="center"/>
          </w:tcPr>
          <w:p w14:paraId="2FA44A6F">
            <w:pPr>
              <w:spacing w:before="80" w:after="80" w:line="360" w:lineRule="auto"/>
              <w:jc w:val="center"/>
              <w:rPr>
                <w:rFonts w:cs="宋体" w:asciiTheme="minorEastAsia" w:hAnsiTheme="minorEastAsia"/>
                <w:color w:val="auto"/>
                <w:sz w:val="24"/>
                <w:szCs w:val="24"/>
              </w:rPr>
            </w:pPr>
          </w:p>
        </w:tc>
      </w:tr>
      <w:tr w14:paraId="4F398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611524A5">
            <w:pPr>
              <w:pStyle w:val="10"/>
              <w:numPr>
                <w:ilvl w:val="0"/>
                <w:numId w:val="2"/>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14:paraId="51E9F710">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非法定代表人参与比选并签署响应文件时，提供法定代表人授权书原件以及法定代表人和授权代表的身份证复印件</w:t>
            </w:r>
          </w:p>
        </w:tc>
        <w:tc>
          <w:tcPr>
            <w:tcW w:w="1922" w:type="dxa"/>
            <w:vAlign w:val="center"/>
          </w:tcPr>
          <w:p w14:paraId="1EBBE23D">
            <w:pPr>
              <w:spacing w:before="80" w:after="80" w:line="360" w:lineRule="auto"/>
              <w:jc w:val="center"/>
              <w:rPr>
                <w:rFonts w:cs="宋体" w:asciiTheme="minorEastAsia" w:hAnsiTheme="minorEastAsia"/>
                <w:color w:val="auto"/>
                <w:sz w:val="24"/>
                <w:szCs w:val="24"/>
              </w:rPr>
            </w:pPr>
          </w:p>
        </w:tc>
      </w:tr>
      <w:tr w14:paraId="41E8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55248760">
            <w:pPr>
              <w:pStyle w:val="10"/>
              <w:numPr>
                <w:ilvl w:val="0"/>
                <w:numId w:val="2"/>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14:paraId="1BF98EFE">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法定代表人直接参与比选并签署响应文件时，提供法定代表人证明书原件和法定代表人身份证复印件</w:t>
            </w:r>
          </w:p>
        </w:tc>
        <w:tc>
          <w:tcPr>
            <w:tcW w:w="1922" w:type="dxa"/>
            <w:vAlign w:val="center"/>
          </w:tcPr>
          <w:p w14:paraId="6A84179B">
            <w:pPr>
              <w:spacing w:before="80" w:after="80" w:line="360" w:lineRule="auto"/>
              <w:jc w:val="center"/>
              <w:rPr>
                <w:rFonts w:cs="宋体" w:asciiTheme="minorEastAsia" w:hAnsiTheme="minorEastAsia"/>
                <w:color w:val="auto"/>
                <w:sz w:val="24"/>
                <w:szCs w:val="24"/>
              </w:rPr>
            </w:pPr>
          </w:p>
        </w:tc>
      </w:tr>
    </w:tbl>
    <w:p w14:paraId="73EC4F34">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2.1.2符合性检查。从比选申请文件的有效性、完整性和对比选文件的响应程度进行审查，以确定是否对比选文件的实质性要求作出响应</w:t>
      </w:r>
      <w:r>
        <w:rPr>
          <w:rFonts w:hint="eastAsia" w:cs="宋体" w:asciiTheme="minorEastAsia" w:hAnsiTheme="minorEastAsia"/>
          <w:color w:val="auto"/>
          <w:sz w:val="24"/>
          <w:szCs w:val="24"/>
        </w:rPr>
        <w:t>，不满足的作无效响应处理</w:t>
      </w:r>
      <w:r>
        <w:rPr>
          <w:rFonts w:cs="宋体" w:asciiTheme="minorEastAsia" w:hAnsiTheme="minorEastAsia"/>
          <w:color w:val="auto"/>
          <w:sz w:val="24"/>
          <w:szCs w:val="24"/>
        </w:rPr>
        <w:t>。</w:t>
      </w:r>
    </w:p>
    <w:tbl>
      <w:tblPr>
        <w:tblStyle w:val="7"/>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6821"/>
        <w:gridCol w:w="1922"/>
      </w:tblGrid>
      <w:tr w14:paraId="275F6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5705894F">
            <w:pPr>
              <w:spacing w:before="80" w:after="80" w:line="360" w:lineRule="auto"/>
              <w:jc w:val="center"/>
              <w:rPr>
                <w:rFonts w:cs="宋体" w:asciiTheme="minorEastAsia" w:hAnsiTheme="minorEastAsia"/>
                <w:color w:val="auto"/>
                <w:sz w:val="24"/>
                <w:szCs w:val="24"/>
              </w:rPr>
            </w:pPr>
            <w:r>
              <w:rPr>
                <w:rFonts w:hint="eastAsia" w:cs="宋体" w:asciiTheme="minorEastAsia" w:hAnsiTheme="minorEastAsia"/>
                <w:color w:val="auto"/>
                <w:sz w:val="24"/>
                <w:szCs w:val="24"/>
              </w:rPr>
              <w:t>序号</w:t>
            </w:r>
          </w:p>
        </w:tc>
        <w:tc>
          <w:tcPr>
            <w:tcW w:w="6821" w:type="dxa"/>
            <w:vAlign w:val="center"/>
          </w:tcPr>
          <w:p w14:paraId="01884994">
            <w:pPr>
              <w:spacing w:before="80" w:after="80" w:line="360" w:lineRule="auto"/>
              <w:jc w:val="center"/>
              <w:rPr>
                <w:rFonts w:cs="宋体" w:asciiTheme="minorEastAsia" w:hAnsiTheme="minorEastAsia"/>
                <w:color w:val="auto"/>
                <w:sz w:val="24"/>
                <w:szCs w:val="24"/>
              </w:rPr>
            </w:pPr>
            <w:r>
              <w:rPr>
                <w:rFonts w:hint="eastAsia" w:cs="宋体" w:asciiTheme="minorEastAsia" w:hAnsiTheme="minorEastAsia"/>
                <w:color w:val="auto"/>
                <w:sz w:val="24"/>
                <w:szCs w:val="24"/>
              </w:rPr>
              <w:t>符合性检查内容</w:t>
            </w:r>
          </w:p>
        </w:tc>
        <w:tc>
          <w:tcPr>
            <w:tcW w:w="1922" w:type="dxa"/>
            <w:vAlign w:val="center"/>
          </w:tcPr>
          <w:p w14:paraId="3379752C">
            <w:pPr>
              <w:spacing w:before="80" w:after="80" w:line="360" w:lineRule="auto"/>
              <w:jc w:val="center"/>
              <w:rPr>
                <w:rFonts w:cs="宋体" w:asciiTheme="minorEastAsia" w:hAnsiTheme="minorEastAsia"/>
                <w:color w:val="auto"/>
                <w:sz w:val="24"/>
                <w:szCs w:val="24"/>
              </w:rPr>
            </w:pPr>
            <w:r>
              <w:rPr>
                <w:rFonts w:hint="eastAsia" w:cs="宋体" w:asciiTheme="minorEastAsia" w:hAnsiTheme="minorEastAsia"/>
                <w:color w:val="auto"/>
                <w:sz w:val="24"/>
                <w:szCs w:val="24"/>
              </w:rPr>
              <w:t>通过/不通过</w:t>
            </w:r>
          </w:p>
        </w:tc>
      </w:tr>
      <w:tr w14:paraId="5288E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46A98BA3">
            <w:pPr>
              <w:pStyle w:val="10"/>
              <w:numPr>
                <w:ilvl w:val="0"/>
                <w:numId w:val="3"/>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14:paraId="3EEC8090">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未按比选文件规定盖章或签字的</w:t>
            </w:r>
          </w:p>
        </w:tc>
        <w:tc>
          <w:tcPr>
            <w:tcW w:w="1922" w:type="dxa"/>
            <w:vAlign w:val="center"/>
          </w:tcPr>
          <w:p w14:paraId="5669F94A">
            <w:pPr>
              <w:spacing w:before="80" w:after="80" w:line="360" w:lineRule="auto"/>
              <w:jc w:val="center"/>
              <w:rPr>
                <w:rFonts w:cs="宋体" w:asciiTheme="minorEastAsia" w:hAnsiTheme="minorEastAsia"/>
                <w:color w:val="auto"/>
                <w:sz w:val="24"/>
                <w:szCs w:val="24"/>
              </w:rPr>
            </w:pPr>
          </w:p>
        </w:tc>
      </w:tr>
      <w:tr w14:paraId="47F2B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7BEF4155">
            <w:pPr>
              <w:pStyle w:val="10"/>
              <w:numPr>
                <w:ilvl w:val="0"/>
                <w:numId w:val="3"/>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14:paraId="39AD7777">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比选申请文件中的报价高于本项目预算或最高限价或未按比选文件规定进行报价的</w:t>
            </w:r>
          </w:p>
        </w:tc>
        <w:tc>
          <w:tcPr>
            <w:tcW w:w="1922" w:type="dxa"/>
            <w:vAlign w:val="center"/>
          </w:tcPr>
          <w:p w14:paraId="1E6A1766">
            <w:pPr>
              <w:spacing w:before="80" w:after="80" w:line="360" w:lineRule="auto"/>
              <w:jc w:val="center"/>
              <w:rPr>
                <w:rFonts w:cs="宋体" w:asciiTheme="minorEastAsia" w:hAnsiTheme="minorEastAsia"/>
                <w:color w:val="auto"/>
                <w:sz w:val="24"/>
                <w:szCs w:val="24"/>
              </w:rPr>
            </w:pPr>
          </w:p>
        </w:tc>
      </w:tr>
      <w:tr w14:paraId="1B81A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4F730BD5">
            <w:pPr>
              <w:pStyle w:val="10"/>
              <w:numPr>
                <w:ilvl w:val="0"/>
                <w:numId w:val="3"/>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14:paraId="65BB86E5">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比选申请文件不满足本项目实质性要求的</w:t>
            </w:r>
          </w:p>
        </w:tc>
        <w:tc>
          <w:tcPr>
            <w:tcW w:w="1922" w:type="dxa"/>
            <w:vAlign w:val="center"/>
          </w:tcPr>
          <w:p w14:paraId="005037E3">
            <w:pPr>
              <w:spacing w:before="80" w:after="80" w:line="360" w:lineRule="auto"/>
              <w:jc w:val="center"/>
              <w:rPr>
                <w:rFonts w:cs="宋体" w:asciiTheme="minorEastAsia" w:hAnsiTheme="minorEastAsia"/>
                <w:color w:val="auto"/>
                <w:sz w:val="24"/>
                <w:szCs w:val="24"/>
              </w:rPr>
            </w:pPr>
          </w:p>
        </w:tc>
      </w:tr>
      <w:tr w14:paraId="57586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7087893B">
            <w:pPr>
              <w:pStyle w:val="10"/>
              <w:numPr>
                <w:ilvl w:val="0"/>
                <w:numId w:val="3"/>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14:paraId="7559020D">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发现在比选过程中有弄虚作假情形的</w:t>
            </w:r>
          </w:p>
        </w:tc>
        <w:tc>
          <w:tcPr>
            <w:tcW w:w="1922" w:type="dxa"/>
            <w:vAlign w:val="center"/>
          </w:tcPr>
          <w:p w14:paraId="7970AD08">
            <w:pPr>
              <w:spacing w:before="80" w:after="80" w:line="360" w:lineRule="auto"/>
              <w:jc w:val="center"/>
              <w:rPr>
                <w:rFonts w:cs="宋体" w:asciiTheme="minorEastAsia" w:hAnsiTheme="minorEastAsia"/>
                <w:color w:val="auto"/>
                <w:sz w:val="24"/>
                <w:szCs w:val="24"/>
              </w:rPr>
            </w:pPr>
          </w:p>
        </w:tc>
      </w:tr>
    </w:tbl>
    <w:p w14:paraId="3C3F6038">
      <w:pPr>
        <w:spacing w:before="80" w:after="80" w:line="360" w:lineRule="auto"/>
        <w:ind w:firstLine="480" w:firstLineChars="200"/>
        <w:rPr>
          <w:rFonts w:cs="宋体" w:asciiTheme="minorEastAsia" w:hAnsiTheme="minorEastAsia"/>
          <w:color w:val="auto"/>
          <w:sz w:val="24"/>
          <w:szCs w:val="24"/>
        </w:rPr>
      </w:pPr>
      <w:bookmarkStart w:id="9" w:name="_GoBack"/>
      <w:bookmarkEnd w:id="9"/>
      <w:r>
        <w:rPr>
          <w:rFonts w:cs="宋体" w:asciiTheme="minorEastAsia" w:hAnsiTheme="minorEastAsia"/>
          <w:color w:val="auto"/>
          <w:sz w:val="24"/>
          <w:szCs w:val="24"/>
        </w:rPr>
        <w:t>2.2澄清有关问题。对比选申请文件中含义不明确、同类问题表述不一致或者有明显文字和计算错误的内容，评审委员会可以书面形式（应当由评审委员会专家签字）要求比选申请人作出必要的澄清、说明或者纠正。比选申请人的澄清、说明或者补正应当采用书面形式，由其授权的代表签字，并不得超出比选申请文件的范围或者改变比选申请文件的实质性内容。</w:t>
      </w:r>
    </w:p>
    <w:p w14:paraId="244211D2">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2.3比较与评价。按比选文件中规定的评审方法和标准，对资格性检查和符合性检查合格的比选申请文件进行商务和技术评估，综合比较与评价。</w:t>
      </w:r>
    </w:p>
    <w:p w14:paraId="06874A69">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2.4推荐中选候选人名单。中选候选人</w:t>
      </w:r>
      <w:r>
        <w:rPr>
          <w:rFonts w:hint="eastAsia" w:cs="宋体" w:asciiTheme="minorEastAsia" w:hAnsiTheme="minorEastAsia"/>
          <w:color w:val="auto"/>
          <w:sz w:val="24"/>
          <w:szCs w:val="24"/>
        </w:rPr>
        <w:t>比选人</w:t>
      </w:r>
      <w:r>
        <w:rPr>
          <w:rFonts w:cs="宋体" w:asciiTheme="minorEastAsia" w:hAnsiTheme="minorEastAsia"/>
          <w:color w:val="auto"/>
          <w:sz w:val="24"/>
          <w:szCs w:val="24"/>
        </w:rPr>
        <w:t>需要确定，但必须按顺序排列中选候选人。</w:t>
      </w:r>
    </w:p>
    <w:p w14:paraId="138CB286">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2.5编写评审报告。评审报告是评审委员会根据全体评审成员签字的原始评审记录和评审结果编写的报告。</w:t>
      </w:r>
    </w:p>
    <w:p w14:paraId="7D6B0432">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3</w:t>
      </w:r>
      <w:r>
        <w:rPr>
          <w:rFonts w:hint="eastAsia" w:ascii="华文中宋" w:hAnsi="华文中宋" w:eastAsia="华文中宋" w:cs="宋体"/>
          <w:bCs w:val="0"/>
          <w:color w:val="auto"/>
          <w:sz w:val="24"/>
          <w:szCs w:val="24"/>
        </w:rPr>
        <w:t>、</w:t>
      </w:r>
      <w:r>
        <w:rPr>
          <w:rFonts w:ascii="华文中宋" w:hAnsi="华文中宋" w:eastAsia="华文中宋" w:cs="宋体"/>
          <w:bCs w:val="0"/>
          <w:color w:val="auto"/>
          <w:sz w:val="24"/>
          <w:szCs w:val="24"/>
        </w:rPr>
        <w:t>定标及定标程序</w:t>
      </w:r>
    </w:p>
    <w:p w14:paraId="764020B1">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 xml:space="preserve"> 3.1 评委会将评审情况写出书面报告，并按比选申请人</w:t>
      </w:r>
      <w:r>
        <w:rPr>
          <w:rFonts w:hint="eastAsia" w:cs="宋体" w:asciiTheme="minorEastAsia" w:hAnsiTheme="minorEastAsia"/>
          <w:color w:val="auto"/>
          <w:sz w:val="24"/>
          <w:szCs w:val="24"/>
        </w:rPr>
        <w:t>综合得分由高到低的</w:t>
      </w:r>
      <w:r>
        <w:rPr>
          <w:rFonts w:cs="宋体" w:asciiTheme="minorEastAsia" w:hAnsiTheme="minorEastAsia"/>
          <w:color w:val="auto"/>
          <w:sz w:val="24"/>
          <w:szCs w:val="24"/>
        </w:rPr>
        <w:t>顺序推荐</w:t>
      </w:r>
      <w:r>
        <w:rPr>
          <w:rFonts w:hint="eastAsia" w:cs="宋体" w:asciiTheme="minorEastAsia" w:hAnsiTheme="minorEastAsia"/>
          <w:color w:val="auto"/>
          <w:sz w:val="24"/>
          <w:szCs w:val="24"/>
        </w:rPr>
        <w:t>不少于</w:t>
      </w:r>
      <w:r>
        <w:rPr>
          <w:rFonts w:cs="宋体" w:asciiTheme="minorEastAsia" w:hAnsiTheme="minorEastAsia"/>
          <w:color w:val="auto"/>
          <w:sz w:val="24"/>
          <w:szCs w:val="24"/>
        </w:rPr>
        <w:t>3</w:t>
      </w:r>
      <w:r>
        <w:rPr>
          <w:rFonts w:hint="eastAsia" w:cs="宋体" w:asciiTheme="minorEastAsia" w:hAnsiTheme="minorEastAsia"/>
          <w:color w:val="auto"/>
          <w:sz w:val="24"/>
          <w:szCs w:val="24"/>
        </w:rPr>
        <w:t>家（含3家）</w:t>
      </w:r>
      <w:r>
        <w:rPr>
          <w:rFonts w:cs="宋体" w:asciiTheme="minorEastAsia" w:hAnsiTheme="minorEastAsia"/>
          <w:color w:val="auto"/>
          <w:sz w:val="24"/>
          <w:szCs w:val="24"/>
        </w:rPr>
        <w:t>中选候选人。</w:t>
      </w:r>
    </w:p>
    <w:p w14:paraId="42829512">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3.2 比选人按照推荐的中选候选人顺序确定中选人，不能认为比选人只能确定第一中选候选人为中选人，比选人有正当理由的，可以确定后一顺序中选候选人为中选人，依次类推。</w:t>
      </w:r>
    </w:p>
    <w:p w14:paraId="7CE4CD0F">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3.3 根据比选人确定的中选人，向中选人发出中选通知书。</w:t>
      </w:r>
    </w:p>
    <w:p w14:paraId="74A4B46F">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3.4 比选</w:t>
      </w:r>
      <w:r>
        <w:rPr>
          <w:rFonts w:hint="eastAsia" w:cs="宋体" w:asciiTheme="minorEastAsia" w:hAnsiTheme="minorEastAsia"/>
          <w:color w:val="auto"/>
          <w:sz w:val="24"/>
          <w:szCs w:val="24"/>
        </w:rPr>
        <w:t>人</w:t>
      </w:r>
      <w:r>
        <w:rPr>
          <w:rFonts w:cs="宋体" w:asciiTheme="minorEastAsia" w:hAnsiTheme="minorEastAsia"/>
          <w:color w:val="auto"/>
          <w:sz w:val="24"/>
          <w:szCs w:val="24"/>
        </w:rPr>
        <w:t>不解释中选或落选原因，不退回比选申请文件和其他资料。</w:t>
      </w:r>
    </w:p>
    <w:p w14:paraId="113345FD">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4</w:t>
      </w:r>
      <w:r>
        <w:rPr>
          <w:rFonts w:hint="eastAsia" w:ascii="华文中宋" w:hAnsi="华文中宋" w:eastAsia="华文中宋" w:cs="宋体"/>
          <w:bCs w:val="0"/>
          <w:color w:val="auto"/>
          <w:sz w:val="24"/>
          <w:szCs w:val="24"/>
        </w:rPr>
        <w:t>、</w:t>
      </w:r>
      <w:r>
        <w:rPr>
          <w:rFonts w:ascii="华文中宋" w:hAnsi="华文中宋" w:eastAsia="华文中宋" w:cs="宋体"/>
          <w:bCs w:val="0"/>
          <w:color w:val="auto"/>
          <w:sz w:val="24"/>
          <w:szCs w:val="24"/>
        </w:rPr>
        <w:t>评审细则及标准（</w:t>
      </w:r>
      <w:r>
        <w:rPr>
          <w:rFonts w:hint="eastAsia" w:ascii="华文中宋" w:hAnsi="华文中宋" w:eastAsia="华文中宋" w:cs="宋体"/>
          <w:bCs w:val="0"/>
          <w:color w:val="auto"/>
          <w:sz w:val="24"/>
          <w:szCs w:val="24"/>
        </w:rPr>
        <w:t>综合评分法</w:t>
      </w:r>
      <w:r>
        <w:rPr>
          <w:rFonts w:ascii="华文中宋" w:hAnsi="华文中宋" w:eastAsia="华文中宋" w:cs="宋体"/>
          <w:bCs w:val="0"/>
          <w:color w:val="auto"/>
          <w:sz w:val="24"/>
          <w:szCs w:val="24"/>
        </w:rPr>
        <w:t>）</w:t>
      </w:r>
    </w:p>
    <w:p w14:paraId="2634901B">
      <w:pPr>
        <w:spacing w:before="80" w:after="80"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4.1 综合评分明细表</w:t>
      </w:r>
    </w:p>
    <w:tbl>
      <w:tblPr>
        <w:tblStyle w:val="6"/>
        <w:tblpPr w:leftFromText="180" w:rightFromText="180" w:vertAnchor="text" w:horzAnchor="margin" w:tblpXSpec="center" w:tblpY="437"/>
        <w:tblOverlap w:val="never"/>
        <w:tblW w:w="101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129"/>
        <w:gridCol w:w="1301"/>
        <w:gridCol w:w="754"/>
        <w:gridCol w:w="6345"/>
      </w:tblGrid>
      <w:tr w14:paraId="4BCEB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5" w:type="dxa"/>
            <w:noWrap w:val="0"/>
            <w:vAlign w:val="center"/>
          </w:tcPr>
          <w:p w14:paraId="4DAFA3CC">
            <w:pPr>
              <w:spacing w:line="240" w:lineRule="auto"/>
              <w:jc w:val="center"/>
              <w:rPr>
                <w:rFonts w:hint="eastAsia" w:ascii="宋体" w:hAnsi="宋体" w:cs="宋体"/>
                <w:color w:val="auto"/>
                <w:szCs w:val="21"/>
              </w:rPr>
            </w:pPr>
            <w:r>
              <w:rPr>
                <w:rFonts w:hint="eastAsia" w:ascii="宋体" w:hAnsi="宋体" w:cs="宋体"/>
                <w:color w:val="auto"/>
                <w:szCs w:val="21"/>
              </w:rPr>
              <w:t>序号</w:t>
            </w:r>
          </w:p>
        </w:tc>
        <w:tc>
          <w:tcPr>
            <w:tcW w:w="1129" w:type="dxa"/>
            <w:noWrap w:val="0"/>
            <w:vAlign w:val="center"/>
          </w:tcPr>
          <w:p w14:paraId="23DC385A">
            <w:pPr>
              <w:spacing w:line="240" w:lineRule="auto"/>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分值构成</w:t>
            </w:r>
          </w:p>
        </w:tc>
        <w:tc>
          <w:tcPr>
            <w:tcW w:w="1301" w:type="dxa"/>
            <w:noWrap w:val="0"/>
            <w:vAlign w:val="center"/>
          </w:tcPr>
          <w:p w14:paraId="64731254">
            <w:pPr>
              <w:spacing w:line="240" w:lineRule="auto"/>
              <w:jc w:val="center"/>
              <w:rPr>
                <w:rFonts w:hint="eastAsia" w:ascii="宋体" w:hAnsi="宋体" w:cs="宋体"/>
                <w:color w:val="auto"/>
                <w:szCs w:val="21"/>
              </w:rPr>
            </w:pPr>
            <w:r>
              <w:rPr>
                <w:rFonts w:hint="eastAsia" w:ascii="宋体" w:hAnsi="宋体" w:cs="宋体"/>
                <w:color w:val="auto"/>
                <w:szCs w:val="21"/>
              </w:rPr>
              <w:t>评分因素及权值</w:t>
            </w:r>
          </w:p>
        </w:tc>
        <w:tc>
          <w:tcPr>
            <w:tcW w:w="754" w:type="dxa"/>
            <w:noWrap w:val="0"/>
            <w:vAlign w:val="center"/>
          </w:tcPr>
          <w:p w14:paraId="15E2A443">
            <w:pPr>
              <w:spacing w:line="240" w:lineRule="auto"/>
              <w:jc w:val="center"/>
              <w:rPr>
                <w:rFonts w:hint="eastAsia" w:ascii="宋体" w:hAnsi="宋体" w:cs="宋体"/>
                <w:color w:val="auto"/>
                <w:szCs w:val="21"/>
              </w:rPr>
            </w:pPr>
            <w:r>
              <w:rPr>
                <w:rFonts w:hint="eastAsia" w:ascii="宋体" w:hAnsi="宋体" w:cs="宋体"/>
                <w:color w:val="auto"/>
                <w:szCs w:val="21"/>
              </w:rPr>
              <w:t>分值</w:t>
            </w:r>
          </w:p>
        </w:tc>
        <w:tc>
          <w:tcPr>
            <w:tcW w:w="6345" w:type="dxa"/>
            <w:noWrap w:val="0"/>
            <w:vAlign w:val="center"/>
          </w:tcPr>
          <w:p w14:paraId="24A0E0EE">
            <w:pPr>
              <w:spacing w:line="240" w:lineRule="auto"/>
              <w:jc w:val="center"/>
              <w:rPr>
                <w:rFonts w:hint="eastAsia" w:ascii="宋体" w:hAnsi="宋体" w:cs="宋体"/>
                <w:color w:val="auto"/>
                <w:szCs w:val="21"/>
              </w:rPr>
            </w:pPr>
            <w:r>
              <w:rPr>
                <w:rFonts w:hint="eastAsia" w:ascii="宋体" w:hAnsi="宋体" w:cs="宋体"/>
                <w:color w:val="auto"/>
                <w:szCs w:val="21"/>
              </w:rPr>
              <w:t>评分标准</w:t>
            </w:r>
          </w:p>
        </w:tc>
      </w:tr>
      <w:tr w14:paraId="53D9F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665" w:type="dxa"/>
            <w:noWrap w:val="0"/>
            <w:vAlign w:val="center"/>
          </w:tcPr>
          <w:p w14:paraId="7DE4FB19">
            <w:pPr>
              <w:spacing w:line="400" w:lineRule="exact"/>
              <w:ind w:firstLine="0" w:firstLineChars="0"/>
              <w:jc w:val="center"/>
              <w:rPr>
                <w:rFonts w:hint="eastAsia" w:ascii="宋体" w:hAnsi="宋体" w:cs="宋体"/>
                <w:color w:val="auto"/>
                <w:szCs w:val="21"/>
              </w:rPr>
            </w:pPr>
            <w:r>
              <w:rPr>
                <w:rFonts w:hint="eastAsia" w:ascii="宋体" w:hAnsi="宋体" w:eastAsia="宋体" w:cs="宋体"/>
                <w:color w:val="auto"/>
                <w:spacing w:val="0"/>
                <w:sz w:val="21"/>
                <w:szCs w:val="21"/>
              </w:rPr>
              <w:t>1</w:t>
            </w:r>
          </w:p>
        </w:tc>
        <w:tc>
          <w:tcPr>
            <w:tcW w:w="1129" w:type="dxa"/>
            <w:noWrap w:val="0"/>
            <w:vAlign w:val="center"/>
          </w:tcPr>
          <w:p w14:paraId="47010DC4">
            <w:pPr>
              <w:spacing w:line="400" w:lineRule="exact"/>
              <w:ind w:firstLine="0" w:firstLineChars="0"/>
              <w:jc w:val="center"/>
              <w:rPr>
                <w:rFonts w:hint="eastAsia" w:ascii="宋体" w:hAnsi="宋体" w:cs="宋体"/>
                <w:color w:val="auto"/>
                <w:spacing w:val="0"/>
                <w:sz w:val="21"/>
                <w:szCs w:val="21"/>
                <w:lang w:val="en-US" w:eastAsia="zh-CN"/>
              </w:rPr>
            </w:pPr>
            <w:r>
              <w:rPr>
                <w:rFonts w:hint="eastAsia" w:ascii="宋体" w:hAnsi="宋体" w:cs="宋体"/>
                <w:color w:val="auto"/>
                <w:spacing w:val="0"/>
                <w:sz w:val="21"/>
                <w:szCs w:val="21"/>
                <w:lang w:val="en-US" w:eastAsia="zh-CN"/>
              </w:rPr>
              <w:t>价格部分</w:t>
            </w:r>
          </w:p>
          <w:p w14:paraId="6C932FA8">
            <w:pPr>
              <w:spacing w:line="400" w:lineRule="exact"/>
              <w:ind w:firstLine="0" w:firstLineChars="0"/>
              <w:jc w:val="center"/>
              <w:rPr>
                <w:rFonts w:hint="default" w:ascii="宋体" w:hAnsi="宋体" w:eastAsia="宋体" w:cs="宋体"/>
                <w:color w:val="auto"/>
                <w:spacing w:val="0"/>
                <w:sz w:val="21"/>
                <w:szCs w:val="21"/>
                <w:lang w:val="en-US" w:eastAsia="zh-CN"/>
              </w:rPr>
            </w:pPr>
            <w:r>
              <w:rPr>
                <w:rFonts w:hint="eastAsia" w:ascii="宋体" w:hAnsi="宋体" w:cs="宋体"/>
                <w:color w:val="auto"/>
                <w:spacing w:val="0"/>
                <w:sz w:val="21"/>
                <w:szCs w:val="21"/>
                <w:lang w:val="en-US" w:eastAsia="zh-CN"/>
              </w:rPr>
              <w:t>（50分）</w:t>
            </w:r>
          </w:p>
        </w:tc>
        <w:tc>
          <w:tcPr>
            <w:tcW w:w="1301" w:type="dxa"/>
            <w:noWrap w:val="0"/>
            <w:vAlign w:val="center"/>
          </w:tcPr>
          <w:p w14:paraId="07CCE080">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报价</w:t>
            </w:r>
          </w:p>
          <w:p w14:paraId="72F639DE">
            <w:pPr>
              <w:spacing w:line="400" w:lineRule="exact"/>
              <w:jc w:val="center"/>
              <w:rPr>
                <w:rFonts w:hint="eastAsia" w:ascii="宋体" w:hAnsi="宋体" w:cs="宋体"/>
                <w:color w:val="auto"/>
                <w:szCs w:val="21"/>
              </w:rPr>
            </w:pPr>
            <w:r>
              <w:rPr>
                <w:rFonts w:hint="eastAsia" w:ascii="宋体" w:hAnsi="宋体" w:cs="宋体"/>
                <w:color w:val="auto"/>
                <w:sz w:val="21"/>
                <w:szCs w:val="21"/>
                <w:lang w:val="en-US" w:eastAsia="zh-CN"/>
              </w:rPr>
              <w:t>50</w:t>
            </w:r>
            <w:r>
              <w:rPr>
                <w:rFonts w:hint="eastAsia" w:ascii="宋体" w:hAnsi="宋体" w:eastAsia="宋体" w:cs="宋体"/>
                <w:color w:val="auto"/>
                <w:sz w:val="21"/>
                <w:szCs w:val="21"/>
              </w:rPr>
              <w:t>%</w:t>
            </w:r>
          </w:p>
        </w:tc>
        <w:tc>
          <w:tcPr>
            <w:tcW w:w="754" w:type="dxa"/>
            <w:noWrap w:val="0"/>
            <w:vAlign w:val="center"/>
          </w:tcPr>
          <w:p w14:paraId="67593304">
            <w:pPr>
              <w:spacing w:line="400" w:lineRule="exact"/>
              <w:jc w:val="center"/>
              <w:rPr>
                <w:rFonts w:hint="default" w:ascii="宋体" w:hAnsi="宋体" w:cs="宋体"/>
                <w:color w:val="auto"/>
                <w:szCs w:val="21"/>
                <w:lang w:val="en-US"/>
              </w:rPr>
            </w:pPr>
            <w:r>
              <w:rPr>
                <w:rFonts w:hint="eastAsia" w:ascii="宋体" w:hAnsi="宋体" w:cs="宋体"/>
                <w:color w:val="auto"/>
                <w:sz w:val="21"/>
                <w:szCs w:val="21"/>
                <w:lang w:val="en-US" w:eastAsia="zh-CN"/>
              </w:rPr>
              <w:t>50</w:t>
            </w:r>
          </w:p>
        </w:tc>
        <w:tc>
          <w:tcPr>
            <w:tcW w:w="6345" w:type="dxa"/>
            <w:noWrap w:val="0"/>
            <w:vAlign w:val="center"/>
          </w:tcPr>
          <w:p w14:paraId="6C43B426">
            <w:pPr>
              <w:spacing w:line="400" w:lineRule="exact"/>
              <w:jc w:val="left"/>
              <w:rPr>
                <w:rFonts w:hint="eastAsia"/>
                <w:color w:val="auto"/>
              </w:rPr>
            </w:pPr>
            <w:r>
              <w:rPr>
                <w:rFonts w:hint="eastAsia"/>
                <w:color w:val="auto"/>
              </w:rPr>
              <w:t>满足</w:t>
            </w:r>
            <w:r>
              <w:rPr>
                <w:rFonts w:hint="eastAsia"/>
                <w:color w:val="auto"/>
                <w:lang w:val="en-US" w:eastAsia="zh-CN"/>
              </w:rPr>
              <w:t>采购</w:t>
            </w:r>
            <w:r>
              <w:rPr>
                <w:rFonts w:hint="eastAsia"/>
                <w:color w:val="auto"/>
              </w:rPr>
              <w:t>文件要求且最后报价最</w:t>
            </w:r>
            <w:r>
              <w:rPr>
                <w:rFonts w:hint="eastAsia"/>
                <w:color w:val="auto"/>
                <w:lang w:val="en-US" w:eastAsia="zh-CN"/>
              </w:rPr>
              <w:t>低</w:t>
            </w:r>
            <w:r>
              <w:rPr>
                <w:rFonts w:hint="eastAsia"/>
                <w:color w:val="auto"/>
              </w:rPr>
              <w:t>的</w:t>
            </w:r>
            <w:r>
              <w:rPr>
                <w:rFonts w:hint="eastAsia"/>
                <w:color w:val="auto"/>
                <w:lang w:eastAsia="zh-CN"/>
              </w:rPr>
              <w:t>供应商</w:t>
            </w:r>
            <w:r>
              <w:rPr>
                <w:rFonts w:hint="eastAsia"/>
                <w:color w:val="auto"/>
              </w:rPr>
              <w:t>的价格为</w:t>
            </w:r>
            <w:r>
              <w:rPr>
                <w:rFonts w:hint="eastAsia"/>
                <w:color w:val="auto"/>
                <w:lang w:eastAsia="zh-CN"/>
              </w:rPr>
              <w:t>谈判</w:t>
            </w:r>
            <w:r>
              <w:rPr>
                <w:rFonts w:hint="eastAsia"/>
                <w:color w:val="auto"/>
              </w:rPr>
              <w:t>基准价，其价格分为满分。其他</w:t>
            </w:r>
            <w:r>
              <w:rPr>
                <w:rFonts w:hint="eastAsia"/>
                <w:color w:val="auto"/>
                <w:lang w:eastAsia="zh-CN"/>
              </w:rPr>
              <w:t>供应商</w:t>
            </w:r>
            <w:r>
              <w:rPr>
                <w:rFonts w:hint="eastAsia"/>
                <w:color w:val="auto"/>
              </w:rPr>
              <w:t>的价格分统一按照下列公式计算：</w:t>
            </w:r>
          </w:p>
          <w:p w14:paraId="19D729B5">
            <w:pPr>
              <w:spacing w:line="400" w:lineRule="exact"/>
              <w:rPr>
                <w:rFonts w:hint="default" w:eastAsia="宋体"/>
                <w:color w:val="auto"/>
                <w:lang w:val="en-US" w:eastAsia="zh-CN"/>
              </w:rPr>
            </w:pPr>
            <w:r>
              <w:rPr>
                <w:rFonts w:hint="eastAsia"/>
                <w:color w:val="auto"/>
                <w:lang w:eastAsia="zh-CN"/>
              </w:rPr>
              <w:t>谈判</w:t>
            </w:r>
            <w:r>
              <w:rPr>
                <w:rFonts w:hint="eastAsia"/>
                <w:color w:val="auto"/>
              </w:rPr>
              <w:t>报价得分</w:t>
            </w:r>
            <w:r>
              <w:rPr>
                <w:rFonts w:hint="eastAsia"/>
                <w:color w:val="auto"/>
                <w:lang w:val="en-US" w:eastAsia="zh-CN"/>
              </w:rPr>
              <w:t>=</w:t>
            </w:r>
            <w:r>
              <w:rPr>
                <w:rFonts w:hint="eastAsia"/>
                <w:color w:val="auto"/>
              </w:rPr>
              <w:t>（</w:t>
            </w:r>
            <w:r>
              <w:rPr>
                <w:rFonts w:hint="eastAsia"/>
                <w:color w:val="auto"/>
                <w:lang w:eastAsia="zh-CN"/>
              </w:rPr>
              <w:t>谈判</w:t>
            </w:r>
            <w:r>
              <w:rPr>
                <w:rFonts w:hint="eastAsia"/>
                <w:color w:val="auto"/>
              </w:rPr>
              <w:t>基准价/</w:t>
            </w:r>
            <w:r>
              <w:rPr>
                <w:rFonts w:hint="eastAsia"/>
                <w:color w:val="auto"/>
                <w:lang w:eastAsia="zh-CN"/>
              </w:rPr>
              <w:t>谈判</w:t>
            </w:r>
            <w:r>
              <w:rPr>
                <w:rFonts w:hint="eastAsia"/>
                <w:color w:val="auto"/>
              </w:rPr>
              <w:t>报价）×</w:t>
            </w:r>
            <w:r>
              <w:rPr>
                <w:rFonts w:hint="eastAsia" w:ascii="宋体" w:hAnsi="宋体" w:eastAsia="宋体" w:cs="宋体"/>
                <w:color w:val="auto"/>
                <w:lang w:val="en-US" w:eastAsia="zh-CN"/>
              </w:rPr>
              <w:t>50</w:t>
            </w:r>
          </w:p>
        </w:tc>
      </w:tr>
      <w:tr w14:paraId="7D009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665" w:type="dxa"/>
            <w:noWrap w:val="0"/>
            <w:vAlign w:val="center"/>
          </w:tcPr>
          <w:p w14:paraId="49115377">
            <w:pPr>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1129" w:type="dxa"/>
            <w:noWrap w:val="0"/>
            <w:vAlign w:val="center"/>
          </w:tcPr>
          <w:p w14:paraId="1D047536">
            <w:pPr>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技术服务部分</w:t>
            </w:r>
          </w:p>
        </w:tc>
        <w:tc>
          <w:tcPr>
            <w:tcW w:w="1301" w:type="dxa"/>
            <w:noWrap w:val="0"/>
            <w:vAlign w:val="center"/>
          </w:tcPr>
          <w:p w14:paraId="33D1F670">
            <w:pPr>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实施方案40</w:t>
            </w:r>
            <w:r>
              <w:rPr>
                <w:rFonts w:hint="eastAsia" w:ascii="宋体" w:hAnsi="宋体" w:cs="宋体"/>
                <w:color w:val="auto"/>
                <w:sz w:val="21"/>
                <w:szCs w:val="21"/>
              </w:rPr>
              <w:t>%</w:t>
            </w:r>
          </w:p>
        </w:tc>
        <w:tc>
          <w:tcPr>
            <w:tcW w:w="754" w:type="dxa"/>
            <w:noWrap w:val="0"/>
            <w:vAlign w:val="center"/>
          </w:tcPr>
          <w:p w14:paraId="18B2D9A7">
            <w:pPr>
              <w:jc w:val="center"/>
              <w:rPr>
                <w:rFonts w:hint="default" w:ascii="宋体" w:hAnsi="宋体" w:cs="微软雅黑"/>
                <w:color w:val="auto"/>
                <w:sz w:val="21"/>
                <w:szCs w:val="21"/>
                <w:lang w:val="en-US" w:eastAsia="zh-CN"/>
              </w:rPr>
            </w:pPr>
            <w:r>
              <w:rPr>
                <w:rFonts w:hint="eastAsia" w:ascii="宋体" w:hAnsi="宋体" w:cs="微软雅黑"/>
                <w:color w:val="auto"/>
                <w:sz w:val="21"/>
                <w:szCs w:val="21"/>
                <w:lang w:val="en-US" w:eastAsia="zh-CN"/>
              </w:rPr>
              <w:t>40</w:t>
            </w:r>
          </w:p>
        </w:tc>
        <w:tc>
          <w:tcPr>
            <w:tcW w:w="6345" w:type="dxa"/>
            <w:noWrap w:val="0"/>
            <w:vAlign w:val="center"/>
          </w:tcPr>
          <w:p w14:paraId="69185148">
            <w:pPr>
              <w:spacing w:line="400" w:lineRule="exact"/>
              <w:jc w:val="left"/>
              <w:rPr>
                <w:rFonts w:hint="eastAsia"/>
                <w:color w:val="auto"/>
                <w:lang w:val="en-US" w:eastAsia="zh-CN"/>
              </w:rPr>
            </w:pPr>
            <w:r>
              <w:rPr>
                <w:rFonts w:hint="eastAsia"/>
                <w:color w:val="auto"/>
                <w:lang w:val="en-US" w:eastAsia="zh-CN"/>
              </w:rPr>
              <w:t>供应商提供的项目实施方案应包含：</w:t>
            </w:r>
          </w:p>
          <w:p w14:paraId="2E163C72">
            <w:pPr>
              <w:spacing w:line="400" w:lineRule="exact"/>
              <w:jc w:val="left"/>
              <w:rPr>
                <w:rFonts w:hint="eastAsia" w:ascii="宋体" w:hAnsi="宋体" w:cs="宋体"/>
                <w:color w:val="auto"/>
                <w:sz w:val="21"/>
                <w:szCs w:val="21"/>
                <w:lang w:val="en-US" w:eastAsia="zh-CN"/>
              </w:rPr>
            </w:pPr>
            <w:r>
              <w:rPr>
                <w:rFonts w:hint="eastAsia"/>
                <w:color w:val="auto"/>
                <w:lang w:val="en-US" w:eastAsia="zh-CN"/>
              </w:rPr>
              <w:t>①管理实施团队及健全的组织架构图；②实施计划；③</w:t>
            </w:r>
            <w:r>
              <w:rPr>
                <w:rFonts w:hint="eastAsia" w:ascii="宋体" w:hAnsi="宋体" w:cs="宋体"/>
                <w:color w:val="auto"/>
                <w:szCs w:val="21"/>
              </w:rPr>
              <w:t>应急保障方案</w:t>
            </w:r>
            <w:r>
              <w:rPr>
                <w:rFonts w:hint="eastAsia"/>
                <w:color w:val="auto"/>
                <w:lang w:val="en-US" w:eastAsia="zh-CN"/>
              </w:rPr>
              <w:t>；④</w:t>
            </w:r>
            <w:r>
              <w:rPr>
                <w:rFonts w:hint="eastAsia" w:ascii="宋体" w:hAnsi="宋体" w:eastAsia="宋体" w:cs="宋体"/>
                <w:color w:val="auto"/>
                <w:sz w:val="21"/>
                <w:szCs w:val="21"/>
                <w:lang w:val="en-US" w:eastAsia="zh-CN"/>
              </w:rPr>
              <w:t>安全措施</w:t>
            </w:r>
            <w:r>
              <w:rPr>
                <w:rFonts w:hint="eastAsia" w:ascii="宋体" w:hAnsi="宋体" w:cs="宋体"/>
                <w:color w:val="auto"/>
                <w:sz w:val="21"/>
                <w:szCs w:val="21"/>
                <w:lang w:val="en-US" w:eastAsia="zh-CN"/>
              </w:rPr>
              <w:t>；⑤规范的作业流程</w:t>
            </w:r>
            <w:r>
              <w:rPr>
                <w:rFonts w:hint="eastAsia" w:ascii="宋体" w:hAnsi="宋体" w:eastAsia="宋体" w:cs="宋体"/>
                <w:color w:val="auto"/>
                <w:sz w:val="21"/>
                <w:szCs w:val="21"/>
                <w:lang w:val="en-US" w:eastAsia="zh-CN"/>
              </w:rPr>
              <w:t>内容</w:t>
            </w:r>
            <w:r>
              <w:rPr>
                <w:rFonts w:hint="eastAsia" w:ascii="宋体" w:hAnsi="宋体" w:cs="宋体"/>
                <w:color w:val="auto"/>
                <w:sz w:val="21"/>
                <w:szCs w:val="21"/>
                <w:lang w:val="en-US" w:eastAsia="zh-CN"/>
              </w:rPr>
              <w:t>；单项内容完善且合理的，得8分；单项内容不健全的，得2分；单项内容缺失的，</w:t>
            </w:r>
            <w:r>
              <w:rPr>
                <w:rFonts w:hint="eastAsia" w:ascii="宋体" w:hAnsi="宋体" w:cs="宋体"/>
                <w:color w:val="auto"/>
                <w:szCs w:val="21"/>
                <w:lang w:val="en-US" w:eastAsia="zh-CN"/>
              </w:rPr>
              <w:t>得0分</w:t>
            </w:r>
            <w:r>
              <w:rPr>
                <w:rFonts w:hint="eastAsia" w:ascii="宋体" w:hAnsi="宋体" w:cs="宋体"/>
                <w:color w:val="auto"/>
                <w:sz w:val="21"/>
                <w:szCs w:val="21"/>
                <w:lang w:val="en-US" w:eastAsia="zh-CN"/>
              </w:rPr>
              <w:t>。</w:t>
            </w:r>
          </w:p>
          <w:p w14:paraId="1332B4E8">
            <w:pPr>
              <w:spacing w:line="400" w:lineRule="exact"/>
              <w:jc w:val="left"/>
              <w:rPr>
                <w:rFonts w:hint="eastAsia" w:ascii="宋体" w:hAnsi="宋体" w:cs="宋体"/>
                <w:color w:val="auto"/>
                <w:sz w:val="21"/>
                <w:szCs w:val="21"/>
              </w:rPr>
            </w:pPr>
            <w:r>
              <w:rPr>
                <w:rFonts w:hint="eastAsia" w:ascii="宋体" w:hAnsi="宋体" w:eastAsia="宋体" w:cs="宋体"/>
                <w:color w:val="auto"/>
                <w:sz w:val="21"/>
                <w:szCs w:val="21"/>
                <w:lang w:val="en-US" w:eastAsia="zh-CN"/>
              </w:rPr>
              <w:t>无项目实施方案不得分</w:t>
            </w:r>
            <w:r>
              <w:rPr>
                <w:rFonts w:hint="eastAsia" w:ascii="宋体" w:hAnsi="宋体" w:cs="宋体"/>
                <w:color w:val="auto"/>
                <w:sz w:val="21"/>
                <w:szCs w:val="21"/>
                <w:lang w:val="en-US" w:eastAsia="zh-CN"/>
              </w:rPr>
              <w:t>。</w:t>
            </w:r>
          </w:p>
        </w:tc>
      </w:tr>
      <w:tr w14:paraId="294C0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665" w:type="dxa"/>
            <w:noWrap w:val="0"/>
            <w:vAlign w:val="center"/>
          </w:tcPr>
          <w:p w14:paraId="55C49A56">
            <w:pPr>
              <w:spacing w:line="360" w:lineRule="auto"/>
              <w:jc w:val="center"/>
              <w:rPr>
                <w:rFonts w:hint="eastAsia" w:ascii="宋体" w:hAnsi="宋体" w:eastAsia="宋体" w:cs="宋体"/>
                <w:color w:val="auto"/>
                <w:szCs w:val="21"/>
                <w:lang w:val="en-US" w:eastAsia="zh-CN"/>
              </w:rPr>
            </w:pPr>
          </w:p>
          <w:p w14:paraId="6F2912B0">
            <w:pPr>
              <w:spacing w:line="360" w:lineRule="auto"/>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3</w:t>
            </w:r>
          </w:p>
          <w:p w14:paraId="092EA060">
            <w:pPr>
              <w:spacing w:line="400" w:lineRule="exact"/>
              <w:jc w:val="center"/>
              <w:rPr>
                <w:rFonts w:hint="eastAsia" w:ascii="宋体" w:hAnsi="宋体" w:eastAsia="宋体" w:cs="宋体"/>
                <w:color w:val="auto"/>
                <w:szCs w:val="21"/>
                <w:lang w:val="en-US" w:eastAsia="zh-CN"/>
              </w:rPr>
            </w:pPr>
          </w:p>
        </w:tc>
        <w:tc>
          <w:tcPr>
            <w:tcW w:w="1129" w:type="dxa"/>
            <w:noWrap w:val="0"/>
            <w:vAlign w:val="center"/>
          </w:tcPr>
          <w:p w14:paraId="54519D75">
            <w:pPr>
              <w:pStyle w:val="2"/>
              <w:rPr>
                <w:rFonts w:hint="default"/>
                <w:color w:val="auto"/>
                <w:lang w:val="en-US" w:eastAsia="zh-CN"/>
              </w:rPr>
            </w:pPr>
            <w:r>
              <w:rPr>
                <w:rFonts w:hint="eastAsia"/>
                <w:color w:val="auto"/>
                <w:lang w:val="en-US" w:eastAsia="zh-CN"/>
              </w:rPr>
              <w:t>业绩部分</w:t>
            </w:r>
            <w:r>
              <w:rPr>
                <w:rFonts w:hint="eastAsia" w:ascii="宋体" w:hAnsi="宋体" w:cs="宋体"/>
                <w:color w:val="auto"/>
                <w:szCs w:val="21"/>
                <w:lang w:val="en-US" w:eastAsia="zh-CN"/>
              </w:rPr>
              <w:t>（10分）</w:t>
            </w:r>
          </w:p>
        </w:tc>
        <w:tc>
          <w:tcPr>
            <w:tcW w:w="1301" w:type="dxa"/>
            <w:noWrap w:val="0"/>
            <w:vAlign w:val="center"/>
          </w:tcPr>
          <w:p w14:paraId="467B4B80">
            <w:pPr>
              <w:spacing w:line="240" w:lineRule="auto"/>
              <w:jc w:val="center"/>
              <w:rPr>
                <w:rFonts w:hint="eastAsia" w:ascii="宋体" w:hAnsi="宋体" w:cs="宋体"/>
                <w:color w:val="auto"/>
                <w:sz w:val="21"/>
                <w:szCs w:val="21"/>
              </w:rPr>
            </w:pPr>
            <w:r>
              <w:rPr>
                <w:rFonts w:hint="eastAsia" w:ascii="宋体" w:hAnsi="宋体" w:cs="宋体"/>
                <w:color w:val="auto"/>
                <w:sz w:val="21"/>
                <w:szCs w:val="21"/>
              </w:rPr>
              <w:t>业绩</w:t>
            </w:r>
          </w:p>
          <w:p w14:paraId="1AFC333D">
            <w:pPr>
              <w:spacing w:line="240" w:lineRule="auto"/>
              <w:jc w:val="center"/>
              <w:rPr>
                <w:rFonts w:hint="eastAsia" w:ascii="宋体" w:hAnsi="宋体" w:eastAsia="宋体" w:cs="宋体"/>
                <w:color w:val="auto"/>
                <w:szCs w:val="21"/>
                <w:lang w:val="en-US" w:eastAsia="zh-CN"/>
              </w:rPr>
            </w:pPr>
            <w:r>
              <w:rPr>
                <w:rFonts w:hint="eastAsia" w:ascii="宋体" w:hAnsi="宋体" w:cs="宋体"/>
                <w:color w:val="auto"/>
                <w:sz w:val="21"/>
                <w:szCs w:val="21"/>
                <w:lang w:val="en-US" w:eastAsia="zh-CN"/>
              </w:rPr>
              <w:t>10</w:t>
            </w:r>
            <w:r>
              <w:rPr>
                <w:rFonts w:hint="eastAsia" w:ascii="宋体" w:hAnsi="宋体" w:cs="宋体"/>
                <w:color w:val="auto"/>
                <w:sz w:val="21"/>
                <w:szCs w:val="21"/>
              </w:rPr>
              <w:t>%</w:t>
            </w:r>
          </w:p>
        </w:tc>
        <w:tc>
          <w:tcPr>
            <w:tcW w:w="754" w:type="dxa"/>
            <w:noWrap w:val="0"/>
            <w:vAlign w:val="center"/>
          </w:tcPr>
          <w:p w14:paraId="02E185BE">
            <w:pPr>
              <w:spacing w:line="400" w:lineRule="exact"/>
              <w:jc w:val="center"/>
              <w:rPr>
                <w:rFonts w:hint="default" w:ascii="宋体" w:hAnsi="宋体" w:eastAsia="宋体" w:cs="宋体"/>
                <w:color w:val="auto"/>
                <w:szCs w:val="21"/>
                <w:lang w:val="en-US" w:eastAsia="zh-CN"/>
              </w:rPr>
            </w:pPr>
            <w:r>
              <w:rPr>
                <w:rFonts w:hint="eastAsia" w:ascii="宋体" w:hAnsi="宋体" w:cs="宋体"/>
                <w:color w:val="auto"/>
                <w:sz w:val="21"/>
                <w:szCs w:val="21"/>
                <w:lang w:val="en-US" w:eastAsia="zh-CN"/>
              </w:rPr>
              <w:t>10</w:t>
            </w:r>
          </w:p>
        </w:tc>
        <w:tc>
          <w:tcPr>
            <w:tcW w:w="6345" w:type="dxa"/>
            <w:noWrap w:val="0"/>
            <w:vAlign w:val="center"/>
          </w:tcPr>
          <w:p w14:paraId="63B8E285">
            <w:pPr>
              <w:spacing w:line="400" w:lineRule="exact"/>
              <w:rPr>
                <w:rFonts w:hint="default" w:ascii="宋体" w:hAnsi="宋体" w:eastAsia="宋体" w:cs="宋体"/>
                <w:color w:val="auto"/>
                <w:szCs w:val="21"/>
                <w:lang w:val="en-US" w:eastAsia="zh-CN"/>
              </w:rPr>
            </w:pPr>
            <w:r>
              <w:rPr>
                <w:rFonts w:hint="eastAsia" w:ascii="宋体" w:hAnsi="宋体" w:eastAsia="宋体" w:cs="宋体"/>
                <w:color w:val="auto"/>
                <w:sz w:val="21"/>
                <w:szCs w:val="21"/>
                <w:lang w:val="en-US" w:eastAsia="zh-CN"/>
              </w:rPr>
              <w:t>提供</w:t>
            </w:r>
            <w:r>
              <w:rPr>
                <w:rFonts w:hint="eastAsia" w:ascii="宋体" w:hAnsi="宋体" w:cs="宋体"/>
                <w:color w:val="auto"/>
                <w:sz w:val="21"/>
                <w:szCs w:val="21"/>
                <w:lang w:val="en-US" w:eastAsia="zh-CN"/>
              </w:rPr>
              <w:t>2021年（含）以来</w:t>
            </w:r>
            <w:r>
              <w:rPr>
                <w:rFonts w:hint="eastAsia" w:ascii="宋体" w:hAnsi="宋体" w:eastAsia="宋体" w:cs="宋体"/>
                <w:color w:val="auto"/>
                <w:sz w:val="21"/>
                <w:szCs w:val="21"/>
                <w:lang w:val="en-US" w:eastAsia="zh-CN"/>
              </w:rPr>
              <w:t>，本供应商类似项目业绩证明材料（</w:t>
            </w:r>
            <w:r>
              <w:rPr>
                <w:rFonts w:hint="eastAsia" w:ascii="宋体" w:hAnsi="宋体" w:eastAsia="宋体" w:cs="宋体"/>
                <w:b w:val="0"/>
                <w:bCs w:val="0"/>
                <w:color w:val="auto"/>
                <w:sz w:val="21"/>
                <w:szCs w:val="21"/>
                <w:u w:val="none"/>
              </w:rPr>
              <w:t>合同</w:t>
            </w:r>
            <w:r>
              <w:rPr>
                <w:rFonts w:hint="eastAsia" w:ascii="宋体" w:hAnsi="宋体" w:eastAsia="宋体" w:cs="宋体"/>
                <w:b w:val="0"/>
                <w:bCs w:val="0"/>
                <w:color w:val="auto"/>
                <w:sz w:val="21"/>
                <w:szCs w:val="21"/>
                <w:u w:val="none"/>
                <w:lang w:val="en-US" w:eastAsia="zh-CN"/>
              </w:rPr>
              <w:t>复印件</w:t>
            </w:r>
            <w:r>
              <w:rPr>
                <w:rFonts w:hint="eastAsia" w:ascii="宋体" w:hAnsi="宋体" w:eastAsia="宋体" w:cs="宋体"/>
                <w:color w:val="auto"/>
                <w:sz w:val="21"/>
                <w:szCs w:val="21"/>
                <w:lang w:val="en-US" w:eastAsia="zh-CN"/>
              </w:rPr>
              <w:t>，每有一个得</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分，最多得</w:t>
            </w:r>
            <w:r>
              <w:rPr>
                <w:rFonts w:hint="eastAsia" w:ascii="宋体" w:hAnsi="宋体" w:cs="宋体"/>
                <w:color w:val="auto"/>
                <w:sz w:val="21"/>
                <w:szCs w:val="21"/>
                <w:lang w:val="en-US" w:eastAsia="zh-CN"/>
              </w:rPr>
              <w:t>10</w:t>
            </w:r>
            <w:r>
              <w:rPr>
                <w:rFonts w:hint="eastAsia" w:ascii="宋体" w:hAnsi="宋体" w:eastAsia="宋体" w:cs="宋体"/>
                <w:color w:val="auto"/>
                <w:sz w:val="21"/>
                <w:szCs w:val="21"/>
                <w:lang w:val="en-US" w:eastAsia="zh-CN"/>
              </w:rPr>
              <w:t>分，不提供不得分。</w:t>
            </w:r>
          </w:p>
        </w:tc>
      </w:tr>
    </w:tbl>
    <w:p w14:paraId="66998A84">
      <w:pPr>
        <w:spacing w:before="80" w:after="80" w:line="360" w:lineRule="auto"/>
        <w:ind w:firstLine="480" w:firstLineChars="200"/>
        <w:rPr>
          <w:rFonts w:hint="eastAsia" w:cs="宋体" w:asciiTheme="minorEastAsia" w:hAnsiTheme="minorEastAsia"/>
          <w:color w:val="auto"/>
          <w:sz w:val="24"/>
          <w:szCs w:val="24"/>
        </w:rPr>
      </w:pPr>
    </w:p>
    <w:p w14:paraId="0E2C2B24">
      <w:pPr>
        <w:rPr>
          <w:color w:val="auto"/>
          <w:sz w:val="24"/>
        </w:rPr>
      </w:pPr>
    </w:p>
    <w:p w14:paraId="5D6A51C0">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 xml:space="preserve"> </w:t>
      </w:r>
      <w:r>
        <w:rPr>
          <w:rFonts w:hint="eastAsia" w:cs="宋体" w:asciiTheme="minorEastAsia" w:hAnsiTheme="minorEastAsia"/>
          <w:color w:val="auto"/>
          <w:sz w:val="24"/>
          <w:szCs w:val="24"/>
        </w:rPr>
        <w:t>注： 评分的取值按四舍五入法，保留小数点后两位。</w:t>
      </w:r>
      <w:r>
        <w:rPr>
          <w:rFonts w:cs="宋体" w:asciiTheme="minorEastAsia" w:hAnsiTheme="minorEastAsia"/>
          <w:color w:val="auto"/>
          <w:sz w:val="24"/>
          <w:szCs w:val="24"/>
        </w:rPr>
        <w:tab/>
      </w:r>
    </w:p>
    <w:p w14:paraId="56AF4C72">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5</w:t>
      </w:r>
      <w:r>
        <w:rPr>
          <w:rFonts w:hint="eastAsia" w:ascii="华文中宋" w:hAnsi="华文中宋" w:eastAsia="华文中宋" w:cs="宋体"/>
          <w:bCs w:val="0"/>
          <w:color w:val="auto"/>
          <w:sz w:val="24"/>
          <w:szCs w:val="24"/>
        </w:rPr>
        <w:t>、</w:t>
      </w:r>
      <w:r>
        <w:rPr>
          <w:rFonts w:ascii="华文中宋" w:hAnsi="华文中宋" w:eastAsia="华文中宋" w:cs="宋体"/>
          <w:bCs w:val="0"/>
          <w:color w:val="auto"/>
          <w:sz w:val="24"/>
          <w:szCs w:val="24"/>
        </w:rPr>
        <w:t>计算错误的修改</w:t>
      </w:r>
    </w:p>
    <w:p w14:paraId="4CA1ED0E">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5.1 比选申请文件中如果出现计算上或累加上的算术错误，可按以下原则进行修改：</w:t>
      </w:r>
    </w:p>
    <w:p w14:paraId="65410585">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（1）用数字表示的金额和用文字表示的金额不一致，应以文字表示的金额为准。</w:t>
      </w:r>
    </w:p>
    <w:p w14:paraId="0EB17B59">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（2）单价和数量的乘积与总价不一致时，以单价为准，并修正总价。</w:t>
      </w:r>
    </w:p>
    <w:p w14:paraId="018C877C">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（3）单价金额小数点有明显错误的，以总价为准，修正单价。</w:t>
      </w:r>
    </w:p>
    <w:p w14:paraId="4D392C88">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5.2  按上述修正错误的方法调整的比选报价应对比选申请人具有约束力。如果比选申请人不接受修正后的价格，其比选将被拒绝。</w:t>
      </w:r>
    </w:p>
    <w:p w14:paraId="459DC09D">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6</w:t>
      </w:r>
      <w:r>
        <w:rPr>
          <w:rFonts w:hint="eastAsia" w:ascii="华文中宋" w:hAnsi="华文中宋" w:eastAsia="华文中宋" w:cs="宋体"/>
          <w:bCs w:val="0"/>
          <w:color w:val="auto"/>
          <w:sz w:val="24"/>
          <w:szCs w:val="24"/>
        </w:rPr>
        <w:t>、</w:t>
      </w:r>
      <w:r>
        <w:rPr>
          <w:rFonts w:ascii="华文中宋" w:hAnsi="华文中宋" w:eastAsia="华文中宋" w:cs="宋体"/>
          <w:bCs w:val="0"/>
          <w:color w:val="auto"/>
          <w:sz w:val="24"/>
          <w:szCs w:val="24"/>
        </w:rPr>
        <w:t>评审专家在比选</w:t>
      </w:r>
      <w:r>
        <w:rPr>
          <w:rFonts w:hint="eastAsia" w:ascii="华文中宋" w:hAnsi="华文中宋" w:eastAsia="华文中宋" w:cs="宋体"/>
          <w:bCs w:val="0"/>
          <w:color w:val="auto"/>
          <w:sz w:val="24"/>
          <w:szCs w:val="24"/>
        </w:rPr>
        <w:t>评审</w:t>
      </w:r>
      <w:r>
        <w:rPr>
          <w:rFonts w:ascii="华文中宋" w:hAnsi="华文中宋" w:eastAsia="华文中宋" w:cs="宋体"/>
          <w:bCs w:val="0"/>
          <w:color w:val="auto"/>
          <w:sz w:val="24"/>
          <w:szCs w:val="24"/>
        </w:rPr>
        <w:t>活动中承担以下义务：</w:t>
      </w:r>
    </w:p>
    <w:p w14:paraId="1257B1BD">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6.1 遵纪守法，客观、公正、廉洁地履行职责。</w:t>
      </w:r>
    </w:p>
    <w:p w14:paraId="0D9AC25A">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6.2 按照比选文件的规定要求对比选申请人的资格条件和比选申请人提供的产品价格、技术、服务等方面严格进行评判，提供科学合理、公平公正的评审意见，参与起草评审报告，并予签字确认。</w:t>
      </w:r>
    </w:p>
    <w:p w14:paraId="2E342BCA">
      <w:pPr>
        <w:spacing w:before="80" w:after="80" w:line="360" w:lineRule="auto"/>
        <w:ind w:firstLine="480" w:firstLineChars="200"/>
        <w:rPr>
          <w:color w:val="auto"/>
        </w:rPr>
      </w:pPr>
      <w:r>
        <w:rPr>
          <w:rFonts w:cs="宋体" w:asciiTheme="minorEastAsia" w:hAnsiTheme="minorEastAsia"/>
          <w:color w:val="auto"/>
          <w:sz w:val="24"/>
          <w:szCs w:val="24"/>
        </w:rPr>
        <w:t>6.3 保守秘密。不得透露比选文件咨询情况，不得泄漏比选申请人的比选申请文件及知悉的商业秘密，不得向比选申请人透露评审情况</w:t>
      </w:r>
    </w:p>
    <w:p w14:paraId="5E3B2BCD"/>
    <w:sectPr>
      <w:footerReference r:id="rId3"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2414989"/>
    </w:sdtPr>
    <w:sdtEndPr>
      <w:rPr>
        <w:rFonts w:asciiTheme="minorEastAsia" w:hAnsiTheme="minorEastAsia"/>
        <w:b/>
        <w:bCs/>
      </w:rPr>
    </w:sdtEndPr>
    <w:sdtContent>
      <w:p w14:paraId="2BA73458">
        <w:pPr>
          <w:pStyle w:val="5"/>
          <w:jc w:val="center"/>
          <w:rPr>
            <w:rFonts w:asciiTheme="minorEastAsia" w:hAnsiTheme="minorEastAsia"/>
            <w:b/>
            <w:bCs/>
          </w:rPr>
        </w:pPr>
        <w:r>
          <w:rPr>
            <w:rFonts w:hint="eastAsia" w:asciiTheme="minorEastAsia" w:hAnsiTheme="minorEastAsia"/>
            <w:b/>
            <w:bCs/>
          </w:rPr>
          <w:t>第</w:t>
        </w:r>
        <w:r>
          <w:rPr>
            <w:rFonts w:asciiTheme="minorEastAsia" w:hAnsiTheme="minorEastAsia"/>
            <w:b/>
            <w:bCs/>
          </w:rPr>
          <w:fldChar w:fldCharType="begin"/>
        </w:r>
        <w:r>
          <w:rPr>
            <w:rFonts w:asciiTheme="minorEastAsia" w:hAnsiTheme="minorEastAsia"/>
            <w:b/>
            <w:bCs/>
          </w:rPr>
          <w:instrText xml:space="preserve">PAGE   \* MERGEFORMAT</w:instrText>
        </w:r>
        <w:r>
          <w:rPr>
            <w:rFonts w:asciiTheme="minorEastAsia" w:hAnsiTheme="minorEastAsia"/>
            <w:b/>
            <w:bCs/>
          </w:rPr>
          <w:fldChar w:fldCharType="separate"/>
        </w:r>
        <w:r>
          <w:rPr>
            <w:rFonts w:asciiTheme="minorEastAsia" w:hAnsiTheme="minorEastAsia"/>
            <w:b/>
            <w:bCs/>
            <w:lang w:val="zh-CN"/>
          </w:rPr>
          <w:t>38</w:t>
        </w:r>
        <w:r>
          <w:rPr>
            <w:rFonts w:asciiTheme="minorEastAsia" w:hAnsiTheme="minorEastAsia"/>
            <w:b/>
            <w:bCs/>
            <w:lang w:val="zh-CN"/>
          </w:rPr>
          <w:fldChar w:fldCharType="end"/>
        </w:r>
        <w:r>
          <w:rPr>
            <w:rFonts w:hint="eastAsia" w:asciiTheme="minorEastAsia" w:hAnsiTheme="minorEastAsia"/>
            <w:b/>
            <w:bCs/>
            <w:lang w:val="zh-CN"/>
          </w:rPr>
          <w:t>页</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1A7C43"/>
    <w:multiLevelType w:val="singleLevel"/>
    <w:tmpl w:val="1E1A7C43"/>
    <w:lvl w:ilvl="0" w:tentative="0">
      <w:start w:val="1"/>
      <w:numFmt w:val="chineseCounting"/>
      <w:suff w:val="nothing"/>
      <w:lvlText w:val="%1、"/>
      <w:lvlJc w:val="left"/>
      <w:rPr>
        <w:rFonts w:hint="eastAsia"/>
      </w:rPr>
    </w:lvl>
  </w:abstractNum>
  <w:abstractNum w:abstractNumId="1">
    <w:nsid w:val="5D9E50C8"/>
    <w:multiLevelType w:val="multilevel"/>
    <w:tmpl w:val="5D9E50C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F3D16D2"/>
    <w:multiLevelType w:val="multilevel"/>
    <w:tmpl w:val="7F3D16D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250ADE"/>
    <w:rsid w:val="2E250ADE"/>
    <w:rsid w:val="34F16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tabs>
        <w:tab w:val="left" w:pos="720"/>
      </w:tabs>
      <w:spacing w:before="260" w:after="260" w:line="360" w:lineRule="auto"/>
      <w:jc w:val="center"/>
      <w:outlineLvl w:val="1"/>
    </w:pPr>
    <w:rPr>
      <w:rFonts w:hAnsi="宋体" w:cs="Arial"/>
      <w:b/>
      <w:bCs/>
      <w:iCs/>
      <w:sz w:val="28"/>
      <w:szCs w:val="28"/>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footer"/>
    <w:basedOn w:val="1"/>
    <w:unhideWhenUsed/>
    <w:qFormat/>
    <w:uiPriority w:val="99"/>
    <w:pPr>
      <w:tabs>
        <w:tab w:val="center" w:pos="4153"/>
        <w:tab w:val="right" w:pos="8306"/>
      </w:tabs>
      <w:snapToGrid w:val="0"/>
      <w:jc w:val="left"/>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_0_0"/>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1665ced-1dba-4e65-8313-9151254cfe8e}"/>
        <w:style w:val=""/>
        <w:category>
          <w:name w:val="常规"/>
          <w:gallery w:val="placeholder"/>
        </w:category>
        <w:types>
          <w:type w:val="bbPlcHdr"/>
        </w:types>
        <w:behaviors>
          <w:behavior w:val="content"/>
        </w:behaviors>
        <w:description w:val=""/>
        <w:guid w:val="{b1665ced-1dba-4e65-8313-9151254cfe8e}"/>
      </w:docPartPr>
      <w:docPartBody>
        <w:p w14:paraId="79866E7B">
          <w:r>
            <w:rPr>
              <w:color w:val="808080"/>
            </w:rPr>
            <w:t>选择一项。</w:t>
          </w:r>
        </w:p>
      </w:docPartBody>
    </w:docPart>
    <w:docPart>
      <w:docPartPr>
        <w:name w:val="{6b9cafa8-bac6-4ee3-8933-3c2f697da453}"/>
        <w:style w:val=""/>
        <w:category>
          <w:name w:val="常规"/>
          <w:gallery w:val="placeholder"/>
        </w:category>
        <w:types>
          <w:type w:val="bbPlcHdr"/>
        </w:types>
        <w:behaviors>
          <w:behavior w:val="content"/>
        </w:behaviors>
        <w:description w:val=""/>
        <w:guid w:val="{6b9cafa8-bac6-4ee3-8933-3c2f697da453}"/>
      </w:docPartPr>
      <w:docPartBody>
        <w:p w14:paraId="6CACD024">
          <w:r>
            <w:rPr>
              <w:color w:val="808080"/>
            </w:rPr>
            <w:t>选择一项。</w:t>
          </w:r>
        </w:p>
      </w:docPartBody>
    </w:docPart>
    <w:docPart>
      <w:docPartPr>
        <w:name w:val="{3aa195ac-40e5-4342-b860-d201475e6461}"/>
        <w:style w:val=""/>
        <w:category>
          <w:name w:val="常规"/>
          <w:gallery w:val="placeholder"/>
        </w:category>
        <w:types>
          <w:type w:val="bbPlcHdr"/>
        </w:types>
        <w:behaviors>
          <w:behavior w:val="content"/>
        </w:behaviors>
        <w:description w:val=""/>
        <w:guid w:val="{3aa195ac-40e5-4342-b860-d201475e6461}"/>
      </w:docPartPr>
      <w:docPartBody>
        <w:p w14:paraId="2DD1B20B">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3</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2025-10-20T06:29:00Z</dcterms:created>
  <dc:creator>醒着做梦</dc:creator>
  <cp:lastModifiedBy>醒着做梦</cp:lastModifiedBy>
  <dcterms:modified xsi:type="dcterms:W3CDTF">2025-10-20T06:33:10Z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32920EFB849D49B08CA2850E12C4097F_11</vt:lpwstr>
  </property>
  <property fmtid="{D5CDD505-2E9C-101B-9397-08002B2CF9AE}" pid="4" name="KSOTemplateDocerSaveRecord">
    <vt:lpwstr>eyJoZGlkIjoiMmJkZjI4Mjg1YmY3OTVjNzE5NDhlNGYzNDk0ZDNlZWEiLCJ1c2VySWQiOiI3MDc4MTMzODgifQ==</vt:lpwstr>
  </property>
</Properties>
</file>